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5917"/>
      <w:bookmarkStart w:id="1" w:name="_Toc193106063"/>
      <w:bookmarkStart w:id="2" w:name="_Toc350864514"/>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竹医总采（询）【2024-3-</w:t>
      </w:r>
      <w:r>
        <w:rPr>
          <w:rFonts w:hint="eastAsia" w:ascii="仿宋" w:hAnsi="仿宋" w:eastAsia="仿宋" w:cs="仿宋"/>
          <w:b/>
          <w:sz w:val="28"/>
          <w:szCs w:val="28"/>
          <w:bdr w:val="single" w:color="auto" w:sz="4" w:space="0"/>
          <w:lang w:val="en-US" w:eastAsia="zh-CN"/>
        </w:rPr>
        <w:t>21</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val="en-US" w:eastAsia="zh-CN"/>
        </w:rPr>
      </w:pPr>
      <w:r>
        <w:rPr>
          <w:rFonts w:hint="eastAsia" w:ascii="仿宋" w:hAnsi="仿宋" w:eastAsia="仿宋" w:cs="仿宋"/>
          <w:b/>
          <w:kern w:val="0"/>
          <w:sz w:val="40"/>
          <w:szCs w:val="40"/>
          <w:lang w:eastAsia="zh-CN"/>
        </w:rPr>
        <w:t>大竹县人民医院</w:t>
      </w:r>
      <w:r>
        <w:rPr>
          <w:rFonts w:hint="eastAsia" w:ascii="仿宋" w:hAnsi="仿宋" w:eastAsia="仿宋" w:cs="仿宋"/>
          <w:b/>
          <w:kern w:val="0"/>
          <w:sz w:val="40"/>
          <w:szCs w:val="40"/>
          <w:lang w:val="en-US" w:eastAsia="zh-CN"/>
        </w:rPr>
        <w:t>电梯维护保养服务项目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3"/>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w:t>
      </w:r>
      <w:r>
        <w:rPr>
          <w:rFonts w:hint="eastAsia" w:ascii="仿宋" w:hAnsi="仿宋" w:eastAsia="仿宋" w:cs="仿宋"/>
          <w:bCs/>
          <w:sz w:val="28"/>
          <w:szCs w:val="28"/>
          <w:lang w:eastAsia="zh-CN"/>
        </w:rPr>
        <w:t>大竹县人民医院</w:t>
      </w:r>
      <w:r>
        <w:rPr>
          <w:rFonts w:hint="eastAsia" w:ascii="仿宋" w:hAnsi="仿宋" w:eastAsia="仿宋" w:cs="仿宋"/>
          <w:bCs/>
          <w:sz w:val="28"/>
          <w:szCs w:val="28"/>
          <w:lang w:val="en-US" w:eastAsia="zh-CN"/>
        </w:rPr>
        <w:t>电梯维护保养服务项目</w:t>
      </w:r>
      <w:r>
        <w:rPr>
          <w:rFonts w:hint="eastAsia" w:ascii="仿宋" w:hAnsi="仿宋" w:eastAsia="仿宋" w:cs="仿宋"/>
          <w:sz w:val="28"/>
          <w:szCs w:val="28"/>
          <w:lang w:eastAsia="zh-CN"/>
        </w:rPr>
        <w:t>》</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竹医总采（询）【2024-3-</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w:t>
      </w:r>
    </w:p>
    <w:p>
      <w:pPr>
        <w:pStyle w:val="33"/>
        <w:spacing w:line="360" w:lineRule="auto"/>
        <w:ind w:firstLine="562"/>
        <w:rPr>
          <w:rFonts w:hint="eastAsia" w:ascii="仿宋" w:hAnsi="仿宋" w:eastAsia="仿宋" w:cs="仿宋"/>
          <w:bCs/>
          <w:sz w:val="28"/>
          <w:szCs w:val="28"/>
          <w:lang w:val="en-US"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sz w:val="28"/>
          <w:szCs w:val="28"/>
          <w:lang w:eastAsia="zh-CN"/>
        </w:rPr>
        <w:t>大竹县人民医院</w:t>
      </w:r>
      <w:r>
        <w:rPr>
          <w:rFonts w:hint="eastAsia" w:ascii="仿宋" w:hAnsi="仿宋" w:eastAsia="仿宋" w:cs="仿宋"/>
          <w:bCs/>
          <w:sz w:val="28"/>
          <w:szCs w:val="28"/>
          <w:lang w:val="en-US" w:eastAsia="zh-CN"/>
        </w:rPr>
        <w:t>电梯维护保养服务项目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3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26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3</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27</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月2</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5918"/>
      <w:bookmarkStart w:id="5" w:name="_Toc350864515"/>
      <w:bookmarkStart w:id="6" w:name="_Toc193106175"/>
      <w:bookmarkStart w:id="7" w:name="_Toc193106064"/>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竹医总采（询）【2024-3-</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sz w:val="28"/>
                <w:szCs w:val="28"/>
                <w:lang w:eastAsia="zh-CN"/>
              </w:rPr>
              <w:t>大竹县人民医院</w:t>
            </w:r>
            <w:r>
              <w:rPr>
                <w:rFonts w:hint="eastAsia" w:ascii="仿宋" w:hAnsi="仿宋" w:eastAsia="仿宋" w:cs="仿宋"/>
                <w:bCs/>
                <w:sz w:val="28"/>
                <w:szCs w:val="28"/>
                <w:lang w:val="en-US" w:eastAsia="zh-CN"/>
              </w:rPr>
              <w:t>电梯维护保养服务项目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252600万元/3年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贰拾伍万贰仟陆佰</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lang w:val="en-US" w:eastAsia="zh-CN"/>
              </w:rPr>
              <w:t>叁年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6065"/>
      <w:bookmarkStart w:id="11" w:name="_Toc350864517"/>
      <w:bookmarkStart w:id="12" w:name="_Toc192318708"/>
      <w:bookmarkStart w:id="13" w:name="_Toc192318461"/>
      <w:bookmarkStart w:id="14" w:name="_Toc192318381"/>
      <w:bookmarkStart w:id="15" w:name="_Toc193106176"/>
      <w:bookmarkStart w:id="16" w:name="_Toc193105919"/>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5、参加采购活动前三年内，在经营活动中没有重大违法记录；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560" w:firstLineChars="20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7.1、供应商具有有效的《中华人民共和国特种设备生产许可证》，电梯安装（含修理）曳引驱动乘客电梯(含消防员电梯）v≤6.0m/s ；（复印件加盖鲜章）</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560" w:firstLineChars="20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7.2、供应商必须通过达州市及大竹县市场监督管理局维保资质备案，能在《达州市市场监督管理局》官方网站查询；（提供证明材料）</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560" w:firstLineChars="20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7.3、供应商提供一个2021年1月1日以来，类似电梯维护保养的业绩。（合同复印件盖鲜章）</w:t>
      </w: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color w:val="auto"/>
          <w:sz w:val="28"/>
          <w:szCs w:val="28"/>
        </w:rPr>
      </w:pPr>
    </w:p>
    <w:bookmarkEnd w:id="18"/>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第八章 采购项目内容和要求</w:t>
      </w:r>
    </w:p>
    <w:p>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w:t>
      </w:r>
      <w:r>
        <w:rPr>
          <w:rFonts w:hint="eastAsia" w:ascii="仿宋" w:hAnsi="仿宋" w:eastAsia="仿宋" w:cs="仿宋"/>
          <w:b/>
          <w:color w:val="auto"/>
          <w:kern w:val="0"/>
          <w:sz w:val="40"/>
          <w:szCs w:val="40"/>
          <w:lang w:val="en-US" w:eastAsia="zh-CN"/>
        </w:rPr>
        <w:t>电梯维护保养服务项目</w:t>
      </w:r>
    </w:p>
    <w:p>
      <w:pPr>
        <w:pStyle w:val="33"/>
        <w:spacing w:line="560" w:lineRule="exact"/>
        <w:ind w:left="0" w:leftChars="0" w:firstLine="281" w:firstLineChars="100"/>
        <w:jc w:val="both"/>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一、项目预算</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项目预算总金额：约</w:t>
      </w:r>
      <w:r>
        <w:rPr>
          <w:rFonts w:hint="eastAsia" w:ascii="仿宋" w:hAnsi="仿宋" w:eastAsia="仿宋" w:cs="仿宋"/>
          <w:sz w:val="32"/>
          <w:szCs w:val="32"/>
          <w:lang w:val="en-US" w:eastAsia="zh-CN"/>
        </w:rPr>
        <w:t>252600</w:t>
      </w:r>
      <w:r>
        <w:rPr>
          <w:rFonts w:hint="eastAsia" w:ascii="仿宋" w:hAnsi="仿宋" w:eastAsia="仿宋" w:cs="仿宋"/>
          <w:color w:val="auto"/>
          <w:sz w:val="28"/>
          <w:szCs w:val="28"/>
          <w:lang w:val="en-US" w:eastAsia="zh-CN"/>
        </w:rPr>
        <w:t>元/3年 ，供应商报价总金额不得超过采购人预算金额。</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供应商所报的报价应是完成</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项目的全部内容的价格体现。应包括供应商为完成本项目的全部工作须支付或发生的一切所需费用（包括</w:t>
      </w:r>
      <w:r>
        <w:rPr>
          <w:rFonts w:hint="eastAsia" w:ascii="仿宋" w:hAnsi="仿宋" w:eastAsia="仿宋" w:cs="仿宋"/>
          <w:color w:val="auto"/>
          <w:sz w:val="28"/>
          <w:szCs w:val="28"/>
          <w:lang w:val="en-US" w:eastAsia="zh-CN"/>
        </w:rPr>
        <w:t>单件200元以下的零星材料费，</w:t>
      </w:r>
      <w:r>
        <w:rPr>
          <w:rFonts w:hint="eastAsia" w:ascii="仿宋" w:hAnsi="仿宋" w:eastAsia="仿宋" w:cs="仿宋"/>
          <w:color w:val="auto"/>
          <w:sz w:val="28"/>
          <w:szCs w:val="28"/>
        </w:rPr>
        <w:t>人工服务、税费、</w:t>
      </w:r>
      <w:r>
        <w:rPr>
          <w:rFonts w:hint="eastAsia" w:ascii="仿宋" w:hAnsi="仿宋" w:eastAsia="仿宋" w:cs="仿宋"/>
          <w:color w:val="auto"/>
          <w:sz w:val="28"/>
          <w:szCs w:val="28"/>
          <w:lang w:val="en-US" w:eastAsia="zh-CN"/>
        </w:rPr>
        <w:t>运损</w:t>
      </w:r>
      <w:r>
        <w:rPr>
          <w:rFonts w:hint="eastAsia" w:ascii="仿宋" w:hAnsi="仿宋" w:eastAsia="仿宋" w:cs="仿宋"/>
          <w:color w:val="auto"/>
          <w:sz w:val="28"/>
          <w:szCs w:val="28"/>
        </w:rPr>
        <w:t>、配送、售后及其他各类费用等）和拟获得的利润。</w:t>
      </w:r>
      <w:r>
        <w:rPr>
          <w:rFonts w:hint="eastAsia" w:ascii="仿宋" w:hAnsi="仿宋" w:eastAsia="仿宋" w:cs="仿宋"/>
          <w:color w:val="auto"/>
          <w:sz w:val="28"/>
          <w:szCs w:val="28"/>
          <w:lang w:val="en-US" w:eastAsia="zh-CN"/>
        </w:rPr>
        <w:t>本项目无成本补偿和风险分担，供应商应充分考虑可能影响报价的情况</w:t>
      </w:r>
      <w:r>
        <w:rPr>
          <w:rFonts w:hint="eastAsia" w:ascii="仿宋" w:hAnsi="仿宋" w:eastAsia="仿宋" w:cs="仿宋"/>
          <w:color w:val="auto"/>
          <w:sz w:val="28"/>
          <w:szCs w:val="28"/>
        </w:rPr>
        <w:t>。</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 二、</w:t>
      </w:r>
      <w:r>
        <w:rPr>
          <w:rFonts w:hint="eastAsia" w:ascii="仿宋" w:hAnsi="仿宋" w:eastAsia="仿宋" w:cs="仿宋"/>
          <w:color w:val="auto"/>
          <w:sz w:val="28"/>
          <w:szCs w:val="28"/>
          <w:lang w:val="en-US" w:eastAsia="zh-CN"/>
        </w:rPr>
        <w:t>服务期限</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1、本</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电梯维护保养服务从202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月1日至202</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 31日止（叁年），由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负责</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位于大竹县人民医院的1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台电梯的有偿保养工作。 </w:t>
      </w:r>
    </w:p>
    <w:p>
      <w:pPr>
        <w:widowControl/>
        <w:spacing w:line="360" w:lineRule="auto"/>
        <w:ind w:right="-874" w:rightChars="-416"/>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大竹县人民医院</w:t>
      </w:r>
      <w:r>
        <w:rPr>
          <w:rFonts w:hint="eastAsia" w:ascii="仿宋" w:hAnsi="仿宋" w:eastAsia="仿宋" w:cs="仿宋"/>
          <w:b/>
          <w:bCs w:val="0"/>
          <w:sz w:val="28"/>
          <w:szCs w:val="28"/>
        </w:rPr>
        <w:t>电梯设备</w:t>
      </w:r>
      <w:r>
        <w:rPr>
          <w:rFonts w:hint="eastAsia" w:ascii="仿宋" w:hAnsi="仿宋" w:eastAsia="仿宋" w:cs="仿宋"/>
          <w:b/>
          <w:bCs w:val="0"/>
          <w:sz w:val="28"/>
          <w:szCs w:val="28"/>
          <w:lang w:val="en-US" w:eastAsia="zh-CN"/>
        </w:rPr>
        <w:t>保养信息表</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992"/>
        <w:gridCol w:w="1888"/>
        <w:gridCol w:w="928"/>
        <w:gridCol w:w="831"/>
        <w:gridCol w:w="84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1" w:type="dxa"/>
            <w:noWrap w:val="0"/>
            <w:vAlign w:val="center"/>
          </w:tcPr>
          <w:p>
            <w:pPr>
              <w:widowControl/>
              <w:spacing w:line="300" w:lineRule="auto"/>
              <w:ind w:right="-874" w:rightChars="-416" w:firstLine="560" w:firstLineChars="2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梯 号</w:t>
            </w:r>
          </w:p>
        </w:tc>
        <w:tc>
          <w:tcPr>
            <w:tcW w:w="1992" w:type="dxa"/>
            <w:noWrap w:val="0"/>
            <w:vAlign w:val="center"/>
          </w:tcPr>
          <w:p>
            <w:pPr>
              <w:widowControl/>
              <w:spacing w:line="300" w:lineRule="auto"/>
              <w:ind w:right="-874" w:rightChars="-416" w:firstLine="280" w:firstLineChars="1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品 牌</w:t>
            </w:r>
          </w:p>
        </w:tc>
        <w:tc>
          <w:tcPr>
            <w:tcW w:w="1888"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出厂编号</w:t>
            </w:r>
          </w:p>
        </w:tc>
        <w:tc>
          <w:tcPr>
            <w:tcW w:w="928"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层站</w:t>
            </w:r>
          </w:p>
        </w:tc>
        <w:tc>
          <w:tcPr>
            <w:tcW w:w="83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速度</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m/s</w:t>
            </w:r>
          </w:p>
        </w:tc>
        <w:tc>
          <w:tcPr>
            <w:tcW w:w="846"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载重</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kg</w:t>
            </w:r>
          </w:p>
        </w:tc>
        <w:tc>
          <w:tcPr>
            <w:tcW w:w="900"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内科大楼1号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T06-128</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内科大楼2号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四川科莱电梯</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*1410-1562</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内科大楼3号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T06-130</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内科大楼4号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T06-131</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内科大楼5号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T06-132</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color w:val="FFFFFF"/>
                <w:kern w:val="22"/>
                <w:sz w:val="28"/>
                <w:szCs w:val="28"/>
              </w:rPr>
            </w:pPr>
            <w:r>
              <w:rPr>
                <w:rFonts w:hint="eastAsia" w:ascii="仿宋" w:hAnsi="仿宋" w:eastAsia="仿宋" w:cs="仿宋"/>
                <w:b w:val="0"/>
                <w:bCs/>
                <w:kern w:val="22"/>
                <w:sz w:val="28"/>
                <w:szCs w:val="28"/>
              </w:rPr>
              <w:t>1000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门诊6号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G53092</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10/10</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900"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外科大楼1号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42505617</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20/20</w:t>
            </w:r>
          </w:p>
        </w:tc>
        <w:tc>
          <w:tcPr>
            <w:tcW w:w="83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46"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外科大楼2号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42505620</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外科大楼3号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42505618</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外科大楼4号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42505621</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外科大楼5号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42505619</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外科大楼6号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42505622</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外科大楼7号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42505616</w:t>
            </w:r>
          </w:p>
        </w:tc>
        <w:tc>
          <w:tcPr>
            <w:tcW w:w="9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外科大楼8号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88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42505615</w:t>
            </w:r>
          </w:p>
        </w:tc>
        <w:tc>
          <w:tcPr>
            <w:tcW w:w="9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19/19</w:t>
            </w:r>
          </w:p>
        </w:tc>
        <w:tc>
          <w:tcPr>
            <w:tcW w:w="831"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46"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900"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感染科7号</w:t>
            </w:r>
          </w:p>
        </w:tc>
        <w:tc>
          <w:tcPr>
            <w:tcW w:w="1992"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西门子</w:t>
            </w:r>
          </w:p>
        </w:tc>
        <w:tc>
          <w:tcPr>
            <w:tcW w:w="1888"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XDL1910691</w:t>
            </w:r>
          </w:p>
        </w:tc>
        <w:tc>
          <w:tcPr>
            <w:tcW w:w="92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3/3</w:t>
            </w:r>
          </w:p>
        </w:tc>
        <w:tc>
          <w:tcPr>
            <w:tcW w:w="831"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1.00</w:t>
            </w:r>
          </w:p>
        </w:tc>
        <w:tc>
          <w:tcPr>
            <w:tcW w:w="846"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1600</w:t>
            </w:r>
          </w:p>
        </w:tc>
        <w:tc>
          <w:tcPr>
            <w:tcW w:w="900" w:type="dxa"/>
            <w:noWrap w:val="0"/>
            <w:vAlign w:val="center"/>
          </w:tcPr>
          <w:p>
            <w:pPr>
              <w:jc w:val="cente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微创中心</w:t>
            </w:r>
          </w:p>
        </w:tc>
        <w:tc>
          <w:tcPr>
            <w:tcW w:w="1992" w:type="dxa"/>
            <w:noWrap w:val="0"/>
            <w:vAlign w:val="center"/>
          </w:tcPr>
          <w:p>
            <w:pPr>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慕尼黑</w:t>
            </w:r>
          </w:p>
        </w:tc>
        <w:tc>
          <w:tcPr>
            <w:tcW w:w="1888"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LMH2020124LI</w:t>
            </w:r>
          </w:p>
        </w:tc>
        <w:tc>
          <w:tcPr>
            <w:tcW w:w="92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2/2</w:t>
            </w:r>
          </w:p>
        </w:tc>
        <w:tc>
          <w:tcPr>
            <w:tcW w:w="831"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1.0</w:t>
            </w:r>
          </w:p>
        </w:tc>
        <w:tc>
          <w:tcPr>
            <w:tcW w:w="846"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1275</w:t>
            </w:r>
          </w:p>
        </w:tc>
        <w:tc>
          <w:tcPr>
            <w:tcW w:w="900" w:type="dxa"/>
            <w:noWrap w:val="0"/>
            <w:vAlign w:val="center"/>
          </w:tcPr>
          <w:p>
            <w:pPr>
              <w:jc w:val="cente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386" w:type="dxa"/>
            <w:gridSpan w:val="6"/>
            <w:noWrap w:val="0"/>
            <w:vAlign w:val="center"/>
          </w:tcPr>
          <w:p>
            <w:pPr>
              <w:tabs>
                <w:tab w:val="left" w:pos="5414"/>
              </w:tabs>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ab/>
            </w:r>
            <w:r>
              <w:rPr>
                <w:rFonts w:hint="eastAsia" w:ascii="仿宋" w:hAnsi="仿宋" w:eastAsia="仿宋" w:cs="仿宋"/>
                <w:b w:val="0"/>
                <w:bCs/>
                <w:color w:val="FF0000"/>
                <w:kern w:val="22"/>
                <w:sz w:val="28"/>
                <w:szCs w:val="28"/>
                <w:highlight w:val="none"/>
                <w:lang w:val="en-US" w:eastAsia="zh-CN"/>
              </w:rPr>
              <w:t xml:space="preserve">        合计</w:t>
            </w:r>
          </w:p>
        </w:tc>
        <w:tc>
          <w:tcPr>
            <w:tcW w:w="900" w:type="dxa"/>
            <w:noWrap w:val="0"/>
            <w:vAlign w:val="center"/>
          </w:tcPr>
          <w:p>
            <w:pPr>
              <w:jc w:val="center"/>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kern w:val="22"/>
                <w:sz w:val="28"/>
                <w:szCs w:val="28"/>
                <w:highlight w:val="none"/>
              </w:rPr>
              <w:t>1</w:t>
            </w:r>
            <w:r>
              <w:rPr>
                <w:rFonts w:hint="eastAsia" w:ascii="仿宋" w:hAnsi="仿宋" w:eastAsia="仿宋" w:cs="仿宋"/>
                <w:b w:val="0"/>
                <w:bCs/>
                <w:kern w:val="22"/>
                <w:sz w:val="28"/>
                <w:szCs w:val="28"/>
                <w:highlight w:val="none"/>
                <w:lang w:val="en-US" w:eastAsia="zh-CN"/>
              </w:rPr>
              <w:t>6</w:t>
            </w:r>
          </w:p>
        </w:tc>
      </w:tr>
    </w:tbl>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二、电梯维护保养项目技术、服务要求</w:t>
      </w:r>
    </w:p>
    <w:p>
      <w:pPr>
        <w:pStyle w:val="33"/>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1、供应商按国家、行业相关法规、标准、规范实施电梯维护保养（若项目实施期间有最新的法规、标准、规范要求，则以最新的要求为准）。供应商负责电梯全部部件的维修、维护、保养并承担相关费用。采购人如有新要求或增减任何电梯装置时，双方另行签订合同。日常维保保养内容包括且不限于附件：曳引与强制驱动电梯维保记录内容（详见附件）</w:t>
      </w:r>
      <w:r>
        <w:rPr>
          <w:rFonts w:hint="eastAsia" w:ascii="仿宋" w:hAnsi="仿宋" w:eastAsia="仿宋" w:cs="仿宋"/>
          <w:color w:val="auto"/>
          <w:sz w:val="28"/>
          <w:szCs w:val="28"/>
          <w:lang w:eastAsia="zh-CN"/>
        </w:rPr>
        <w:t>。</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2、供应商按照国家有关安全技术规范以及电梯产品安装使用维护要求，制定维保计划与方案。其制订的日常维护保养项目（内容）和要求必须达到或超过《电梯维修规范》（GB/T18775-20025）</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《特种设备安全监察条例》、TSGT5002-2017《维护保养规则》、TSG 08-2017《特种设备使用管理规则》等国家标准的要求。不包括电梯的各项装饰及翻新、专项、中修、大修、改造。</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3、供应商按照每十五日维护保养一次的周期，制订维保方案实施电梯维保，维保期间落实现场安全防护措施，保证电梯运行安全例行维护。维保期间由于供应商原因造成的延误、人身伤亡或经济损失，其全部责任均由供应商承担，</w:t>
      </w:r>
      <w:r>
        <w:rPr>
          <w:rFonts w:hint="eastAsia" w:ascii="仿宋" w:hAnsi="仿宋" w:eastAsia="仿宋" w:cs="仿宋"/>
          <w:color w:val="auto"/>
          <w:sz w:val="28"/>
          <w:szCs w:val="28"/>
          <w:lang w:eastAsia="zh-CN"/>
        </w:rPr>
        <w:t>与</w:t>
      </w:r>
      <w:r>
        <w:rPr>
          <w:rFonts w:hint="eastAsia" w:ascii="仿宋" w:hAnsi="仿宋" w:eastAsia="仿宋" w:cs="仿宋"/>
          <w:color w:val="auto"/>
          <w:sz w:val="28"/>
          <w:szCs w:val="28"/>
        </w:rPr>
        <w:t>采购人无关。</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4、供应商须制定例行（每十五日）维护计划表（日期、梯号），每月提前提供给采购人，计划如需调整，供应商应提前通知采购人。供应商按照计划日期于日常工作时间上午八时至下午五时内（发生不可抗力情况例外）派</w:t>
      </w:r>
      <w:r>
        <w:rPr>
          <w:rFonts w:hint="eastAsia" w:ascii="仿宋" w:hAnsi="仿宋" w:eastAsia="仿宋" w:cs="仿宋"/>
          <w:color w:val="auto"/>
          <w:sz w:val="28"/>
          <w:szCs w:val="28"/>
          <w:lang w:val="en-US" w:eastAsia="zh-CN"/>
        </w:rPr>
        <w:t>维保人</w:t>
      </w:r>
      <w:r>
        <w:rPr>
          <w:rFonts w:hint="eastAsia" w:ascii="仿宋" w:hAnsi="仿宋" w:eastAsia="仿宋" w:cs="仿宋"/>
          <w:color w:val="auto"/>
          <w:sz w:val="28"/>
          <w:szCs w:val="28"/>
        </w:rPr>
        <w:t>员对该电梯进行日常例行维护。</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5、供应商设立24小时维保值班电话，保证接到故障通知后30分钟到场，予以排除；接到电梯困人故障报告后，维保人员30分钟到场抵达所维保电梯所在地实施现场救援，对电梯发生的故障等情况，及时进行详细的记录。如供应商人员到达现场的时间超过规定，采购人有权扣除该台电梯当月服务费200元(按次计费)；供应商常用配件、易损件维修更换5个工作日内处理完毕，超时每次200元（按次计费）。    </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6、维保记录：供应商每次例行保养或紧急维修后，将有关维修保养或故障处理的《工作报告》一式三份，交采购人签字确认后各自存档。</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7、维保周期内通用易损零配件和正常耗材，单次单件在200 元内由供应商免费修复或更换，每月换件累计费用超过当月维保费用的50%。其超出部分的金额由采购人承担：单次单件价格超过200元的，由采购人承担。该由采购人承担的零配件更换费用在该费用发生后三个月内付清。</w:t>
      </w:r>
      <w:r>
        <w:rPr>
          <w:rFonts w:hint="eastAsia" w:ascii="仿宋" w:hAnsi="仿宋" w:eastAsia="仿宋" w:cs="仿宋"/>
          <w:color w:val="auto"/>
          <w:sz w:val="28"/>
          <w:szCs w:val="28"/>
          <w:lang w:val="en-US" w:eastAsia="zh-CN"/>
        </w:rPr>
        <w:t>维保过程中</w:t>
      </w:r>
      <w:r>
        <w:rPr>
          <w:rFonts w:hint="eastAsia" w:ascii="仿宋" w:hAnsi="仿宋" w:eastAsia="仿宋" w:cs="仿宋"/>
          <w:color w:val="auto"/>
          <w:sz w:val="28"/>
          <w:szCs w:val="28"/>
        </w:rPr>
        <w:t>所需的灯管、润滑油、齿轮油及抹油用之棉纱等消耗品</w:t>
      </w:r>
      <w:r>
        <w:rPr>
          <w:rFonts w:hint="eastAsia" w:ascii="仿宋" w:hAnsi="仿宋" w:eastAsia="仿宋" w:cs="仿宋"/>
          <w:color w:val="auto"/>
          <w:sz w:val="28"/>
          <w:szCs w:val="28"/>
          <w:lang w:val="en-US" w:eastAsia="zh-CN"/>
        </w:rPr>
        <w:t>由采购人提供，供应商在维保过程中产生的废弃物应及时地处理干净，不得引起相关人员投诉，若因此发生一次投诉，扣</w:t>
      </w:r>
      <w:r>
        <w:rPr>
          <w:rFonts w:hint="eastAsia" w:ascii="仿宋" w:hAnsi="仿宋" w:eastAsia="仿宋" w:cs="仿宋"/>
          <w:color w:val="auto"/>
          <w:sz w:val="28"/>
          <w:szCs w:val="28"/>
        </w:rPr>
        <w:t>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当月服务费</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00元(按次计费)。</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8、供应商协助当地市场监督管理局特种设备检验机构实施安全年检，协助采购人向市场监督管理局办理该电梯安全年检手续，以取得电梯使用合格证，年检费由采购人负责，但如因供应商原因未能通过年检，则由此产生的二次年检费用由供应商承担。</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9、供应商协助采购人建立完善安全技术档案。供应商协助采购人制定电梯安全管理制度和应急救援预案，协助采购人制定应急措施和救援预案，供应商每半年至少针对采购人维保的不同类别(类型) 电梯进行一次应急演练。</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10、供应商每年度至少进行一次自行检查，自行检查在特种设备检验机构进行定期检验之前进行，自行检查项目及其内容根据</w:t>
      </w:r>
      <w:r>
        <w:rPr>
          <w:rFonts w:hint="eastAsia" w:ascii="仿宋" w:hAnsi="仿宋" w:eastAsia="仿宋" w:cs="仿宋"/>
          <w:color w:val="auto"/>
          <w:sz w:val="28"/>
          <w:szCs w:val="28"/>
          <w:lang w:val="en-US" w:eastAsia="zh-CN"/>
        </w:rPr>
        <w:t>电梯</w:t>
      </w:r>
      <w:r>
        <w:rPr>
          <w:rFonts w:hint="eastAsia" w:ascii="仿宋" w:hAnsi="仿宋" w:eastAsia="仿宋" w:cs="仿宋"/>
          <w:color w:val="auto"/>
          <w:sz w:val="28"/>
          <w:szCs w:val="28"/>
        </w:rPr>
        <w:t>使用状况确定，但是不少于国家技术规范要求年度维保和电梯定期检验规定的项目及其内容，并且向采购人出具有自行检查</w:t>
      </w:r>
      <w:r>
        <w:rPr>
          <w:rFonts w:hint="eastAsia" w:ascii="仿宋" w:hAnsi="仿宋" w:eastAsia="仿宋" w:cs="仿宋"/>
          <w:color w:val="auto"/>
          <w:sz w:val="28"/>
          <w:szCs w:val="28"/>
          <w:lang w:val="en-US" w:eastAsia="zh-CN"/>
        </w:rPr>
        <w:t>记录并有</w:t>
      </w:r>
      <w:r>
        <w:rPr>
          <w:rFonts w:hint="eastAsia" w:ascii="仿宋" w:hAnsi="仿宋" w:eastAsia="仿宋" w:cs="仿宋"/>
          <w:color w:val="auto"/>
          <w:sz w:val="28"/>
          <w:szCs w:val="28"/>
        </w:rPr>
        <w:t>审核人员的签字，同时供应商需配合采购人向特种设备检验机构进行电梯的定期年检申报及检验配合工作。</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11、供应商负责电梯内的特种设备要求的相关标识张贴，</w:t>
      </w:r>
      <w:r>
        <w:rPr>
          <w:rFonts w:hint="eastAsia" w:ascii="仿宋" w:hAnsi="仿宋" w:eastAsia="仿宋" w:cs="仿宋"/>
          <w:color w:val="auto"/>
          <w:sz w:val="28"/>
          <w:szCs w:val="28"/>
        </w:rPr>
        <w:t>在电梯轿厢内或者入口的明显位置张贴有效的《安全检验合格》标志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将电梯使用的安全注意事项和警示标志置于乘客易于注意的显著位置。 在电梯显著位置标明使用管理单位名称、应急救援电话和维保单位名称及其急修、投诉电话。</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供应商定期完成电梯机房的门、照明、通风降温、消防、监控摄像等电梯附属设施的巡视巡查，巡查机房、井道、底坑有无漏水、有无渗水现象，通往机房、底坑、滑轮间、井道安全门的通道是否畅通、照明是否充分，若发现问题，第一时间通知采购人处理。</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供应商协助采购人</w:t>
      </w:r>
      <w:r>
        <w:rPr>
          <w:rFonts w:hint="eastAsia" w:ascii="仿宋" w:hAnsi="仿宋" w:eastAsia="仿宋" w:cs="仿宋"/>
          <w:color w:val="auto"/>
          <w:sz w:val="28"/>
          <w:szCs w:val="28"/>
        </w:rPr>
        <w:t>对每台电梯建立完整的安全技术档案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并配合采购人完成一年不少于两次的电梯故障救援应急演练。</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14、供应商需做好电梯维保相关的台账资料，每台电梯均应当建立独立的维护保养记录，普通维修、重大维修、改造协议与抢修记录在台账建立好后交予采购人保存。</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15、国家特种设备法律法规要求的其他工作。</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采购人与供应商仅为签订采购合同的合作关系，供应商所提供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服务人员协商确定，供应商为本项目员工发放的劳动报酬不得低于四川省达州市相关政策规定，如遇劳动薪酬、福利待遇、社会保险等纠纷问题一概由供应商自行解决，供应商与投入本项目的人员之间的任何争议纠纷与采购人无关。供应商每年为本项目的维保工作人员投保意外伤害保险。</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供应商须遵守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33"/>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供应商提供的维保服务内容除接受采购人监督检查外，还应接受国家行政机关的监督检查（如特种设备监督管理部门、市场监督管理部门、防疫检查、消防检查等），供应商提供的服务有涉及相关部门检查整改的内容，应在检查后第一时间进行整改，并承担其相应责任。若供应商原因导致采购人受到行政机关处罚，所产生的罚款费用和法律责任由供应商全部承担，供应商要立刻整改，并对造成的损失进行赔偿，造成严重影响的，采购人将解除合同。</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三、电梯维护保养项目的商务要求</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（一）服务期限：双方合同签订生效之日起三年。</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（二）履约地点：大竹县人民医院院内指定地点。</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1、采购人付款采用银行转账的方式，采购人付款前，成交供应商须根据收款金额开具相应金额的正规发票给采购人,否则采购人有权拒绝付款。</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2、第一年：本项目在签订合同后且电梯维保服务满 6 个月后，采购人在收到成交供应商发票后60日内支付电梯维保年服务费的 50%,一年期满后通过特检部门年检合格并取得《特种设备使用标志》后，采购人在收到成交供应商发票后60日内支付电梯维保年服务费的 50%。</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3、第二年、第三年的付款：以合同签订之日的年度对应日，按照第一年的付款方式进行。</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（四）、违约责任要求</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若供应商违约，采购人有权解除合同，要求供应商支付年度维保费20%的违约金，若违约金不足以覆盖采购人损失的，供应商还应赔偿采购人的全部损失。</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若发生下列情况之一的，属成交供应商承担违约责任：</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一个维保年度内，累计三次未按询价文件要求的维保内容和质量完成电梯维护保养工作。</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一个维保年度内，累计三次电梯发生困人等事故或故障，供应商未能按约定时限要求予以解决。</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一个维保年度内，累计三次供应商因易损件更换不及时、保养不到位造成停梯（困人）等故障发生。</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4.在国家行政部门安全检查中，因供应商电梯维保原因导致采购人被行政处罚。</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 由于供应商原因造成的严重人身伤亡或经济损失事件。</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6.供应商其他违反国家法律、法规的情况。  </w:t>
      </w:r>
    </w:p>
    <w:p>
      <w:pPr>
        <w:pStyle w:val="33"/>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附件： 电梯《常用易损件清单》</w:t>
      </w:r>
    </w:p>
    <w:p>
      <w:pPr>
        <w:pStyle w:val="33"/>
        <w:spacing w:line="360" w:lineRule="auto"/>
        <w:ind w:firstLine="560"/>
        <w:rPr>
          <w:rFonts w:ascii="仿宋" w:hAnsi="仿宋" w:eastAsia="仿宋" w:cs="仿宋"/>
          <w:b/>
          <w:sz w:val="28"/>
          <w:szCs w:val="28"/>
        </w:rPr>
      </w:pPr>
      <w:r>
        <w:rPr>
          <w:rFonts w:hint="eastAsia" w:ascii="仿宋" w:hAnsi="仿宋" w:eastAsia="仿宋" w:cs="仿宋"/>
          <w:color w:val="auto"/>
          <w:sz w:val="28"/>
          <w:szCs w:val="28"/>
          <w:lang w:val="en-US" w:eastAsia="zh-CN"/>
        </w:rPr>
        <w:t>厅门导靴；02、OPB按钮灯；03、厅门锁；04、呼梯按钮灯；05、厅门轮；06、厅门主触点；07、厅门弹簧；08、厅门辅助触点；09、主轨靴衬13K；10、应急灯泡12V/3W；11、副轨靴衬8K；12、照明镇流器32W*2；13、安全触板开关；14、门机链条；15、门机链条开关；16、OPB锁；17、轿门开关；18、消防开关护片；19、安全触板开关电缆；20、保险管各型；21、光电开关电缆；22、接插件各型；23、超载开关；24、继电器；25、轿内检修盒开关；26、急停开关；27、限位开关；28、涨绳轮开关；29、电阻50W以下；30、缓冲器开关；31、蜂鸣器；32、轿内及厅外呼梯按钮；33、各型螺丝、螺帽；34、轿门开关；35、消防开关；36、按钮灯。37、电梯光幕。38、交流接触器。</w:t>
      </w: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hint="eastAsia" w:ascii="宋体" w:hAnsi="宋体" w:cs="宋体"/>
          <w:kern w:val="0"/>
          <w:sz w:val="24"/>
        </w:rPr>
      </w:pPr>
      <w:r>
        <w:rPr>
          <w:rFonts w:hint="eastAsia" w:ascii="宋体" w:hAnsi="宋体" w:cs="宋体"/>
          <w:kern w:val="0"/>
          <w:sz w:val="24"/>
        </w:rPr>
        <w:t>采购项目编号：</w:t>
      </w:r>
    </w:p>
    <w:p>
      <w:pPr>
        <w:widowControl/>
        <w:spacing w:line="360" w:lineRule="auto"/>
        <w:ind w:right="-874" w:rightChars="-416"/>
        <w:jc w:val="center"/>
        <w:rPr>
          <w:rFonts w:hint="eastAsia"/>
        </w:rPr>
      </w:pPr>
      <w:r>
        <w:rPr>
          <w:rFonts w:hint="eastAsia" w:ascii="仿宋" w:hAnsi="仿宋" w:eastAsia="仿宋" w:cs="仿宋"/>
          <w:b/>
          <w:bCs w:val="0"/>
          <w:color w:val="FF0000"/>
          <w:sz w:val="28"/>
          <w:szCs w:val="28"/>
          <w:lang w:val="en-US" w:eastAsia="zh-CN"/>
        </w:rPr>
        <w:t>（供应商需在此表处，填报单价及总价并单独盖章）</w:t>
      </w:r>
    </w:p>
    <w:tbl>
      <w:tblPr>
        <w:tblStyle w:val="14"/>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992"/>
        <w:gridCol w:w="1471"/>
        <w:gridCol w:w="1038"/>
        <w:gridCol w:w="880"/>
        <w:gridCol w:w="828"/>
        <w:gridCol w:w="69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1" w:type="dxa"/>
            <w:noWrap w:val="0"/>
            <w:vAlign w:val="center"/>
          </w:tcPr>
          <w:p>
            <w:pPr>
              <w:widowControl/>
              <w:spacing w:line="300" w:lineRule="auto"/>
              <w:ind w:right="-874" w:rightChars="-416" w:firstLine="560" w:firstLineChars="2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梯 号</w:t>
            </w:r>
          </w:p>
        </w:tc>
        <w:tc>
          <w:tcPr>
            <w:tcW w:w="1992" w:type="dxa"/>
            <w:noWrap w:val="0"/>
            <w:vAlign w:val="center"/>
          </w:tcPr>
          <w:p>
            <w:pPr>
              <w:widowControl/>
              <w:spacing w:line="300" w:lineRule="auto"/>
              <w:ind w:right="-874" w:rightChars="-416" w:firstLine="280" w:firstLineChars="100"/>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品 牌</w:t>
            </w:r>
          </w:p>
        </w:tc>
        <w:tc>
          <w:tcPr>
            <w:tcW w:w="1471"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出厂编号</w:t>
            </w:r>
          </w:p>
        </w:tc>
        <w:tc>
          <w:tcPr>
            <w:tcW w:w="1038"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层站</w:t>
            </w:r>
          </w:p>
        </w:tc>
        <w:tc>
          <w:tcPr>
            <w:tcW w:w="880"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速度</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m/s</w:t>
            </w:r>
          </w:p>
        </w:tc>
        <w:tc>
          <w:tcPr>
            <w:tcW w:w="828"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载重</w:t>
            </w:r>
          </w:p>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kg</w:t>
            </w:r>
          </w:p>
        </w:tc>
        <w:tc>
          <w:tcPr>
            <w:tcW w:w="699" w:type="dxa"/>
            <w:noWrap w:val="0"/>
            <w:vAlign w:val="center"/>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台数</w:t>
            </w:r>
          </w:p>
        </w:tc>
        <w:tc>
          <w:tcPr>
            <w:tcW w:w="1719" w:type="dxa"/>
            <w:noWrap w:val="0"/>
            <w:vAlign w:val="top"/>
          </w:tcPr>
          <w:p>
            <w:pPr>
              <w:widowControl/>
              <w:spacing w:line="300" w:lineRule="auto"/>
              <w:ind w:right="-874" w:rightChars="-416"/>
              <w:jc w:val="left"/>
              <w:rPr>
                <w:rFonts w:hint="eastAsia" w:ascii="仿宋" w:hAnsi="仿宋" w:eastAsia="仿宋" w:cs="仿宋"/>
                <w:b w:val="0"/>
                <w:bCs/>
                <w:kern w:val="22"/>
                <w:sz w:val="28"/>
                <w:szCs w:val="28"/>
                <w:lang w:val="en-US" w:eastAsia="zh-CN"/>
              </w:rPr>
            </w:pPr>
            <w:r>
              <w:rPr>
                <w:rFonts w:hint="eastAsia" w:ascii="仿宋" w:hAnsi="仿宋" w:eastAsia="仿宋" w:cs="仿宋"/>
                <w:b w:val="0"/>
                <w:bCs/>
                <w:kern w:val="22"/>
                <w:sz w:val="28"/>
                <w:szCs w:val="28"/>
                <w:lang w:val="en-US" w:eastAsia="zh-CN"/>
              </w:rPr>
              <w:t>供应商报价</w:t>
            </w:r>
          </w:p>
          <w:p>
            <w:pPr>
              <w:widowControl/>
              <w:spacing w:line="300" w:lineRule="auto"/>
              <w:ind w:right="-874" w:rightChars="-416"/>
              <w:jc w:val="left"/>
              <w:rPr>
                <w:rFonts w:hint="eastAsia" w:ascii="仿宋" w:hAnsi="仿宋" w:eastAsia="仿宋" w:cs="仿宋"/>
                <w:b w:val="0"/>
                <w:bCs/>
                <w:kern w:val="22"/>
                <w:sz w:val="28"/>
                <w:szCs w:val="28"/>
                <w:lang w:val="en-US" w:eastAsia="zh-CN"/>
              </w:rPr>
            </w:pPr>
            <w:r>
              <w:rPr>
                <w:rFonts w:hint="eastAsia" w:ascii="仿宋" w:hAnsi="仿宋" w:eastAsia="仿宋" w:cs="仿宋"/>
                <w:b w:val="0"/>
                <w:bCs/>
                <w:kern w:val="22"/>
                <w:sz w:val="28"/>
                <w:szCs w:val="28"/>
                <w:lang w:val="en-US" w:eastAsia="zh-CN"/>
              </w:rPr>
              <w:t>（元/3年）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内科大楼1号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T06-128</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内科大楼2号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四川科莱电梯</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*1410-1562</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内科大楼3号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T06-130</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13/13</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内科大楼4号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T06-131</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内科大楼5号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四川绵阳环通</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T06-132</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14/14</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color w:val="FFFFFF"/>
                <w:kern w:val="22"/>
                <w:sz w:val="28"/>
                <w:szCs w:val="28"/>
              </w:rPr>
            </w:pPr>
            <w:r>
              <w:rPr>
                <w:rFonts w:hint="eastAsia" w:ascii="仿宋" w:hAnsi="仿宋" w:eastAsia="仿宋" w:cs="仿宋"/>
                <w:b w:val="0"/>
                <w:bCs/>
                <w:kern w:val="22"/>
                <w:sz w:val="28"/>
                <w:szCs w:val="28"/>
              </w:rPr>
              <w:t>1000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门诊6号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G53092</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10/10</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1000</w:t>
            </w:r>
          </w:p>
        </w:tc>
        <w:tc>
          <w:tcPr>
            <w:tcW w:w="699" w:type="dxa"/>
            <w:noWrap w:val="0"/>
            <w:vAlign w:val="center"/>
          </w:tcPr>
          <w:p>
            <w:pPr>
              <w:jc w:val="center"/>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外科大楼1号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42505617</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20/20</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外科大楼2号</w:t>
            </w:r>
          </w:p>
        </w:tc>
        <w:tc>
          <w:tcPr>
            <w:tcW w:w="1992"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42505620</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20/20</w:t>
            </w:r>
          </w:p>
        </w:tc>
        <w:tc>
          <w:tcPr>
            <w:tcW w:w="880"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1.75</w:t>
            </w:r>
          </w:p>
        </w:tc>
        <w:tc>
          <w:tcPr>
            <w:tcW w:w="82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1600</w:t>
            </w:r>
          </w:p>
        </w:tc>
        <w:tc>
          <w:tcPr>
            <w:tcW w:w="699"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外科大楼3号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42505618</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外科大楼4号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42505621</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外科大楼5号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42505619</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外科大楼6号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42505622</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外科大楼7号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42505616</w:t>
            </w:r>
          </w:p>
        </w:tc>
        <w:tc>
          <w:tcPr>
            <w:tcW w:w="103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20/20</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外科大楼8号</w:t>
            </w:r>
          </w:p>
        </w:tc>
        <w:tc>
          <w:tcPr>
            <w:tcW w:w="1992"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巨人通力</w:t>
            </w:r>
          </w:p>
        </w:tc>
        <w:tc>
          <w:tcPr>
            <w:tcW w:w="1471" w:type="dxa"/>
            <w:noWrap w:val="0"/>
            <w:vAlign w:val="top"/>
          </w:tcPr>
          <w:p>
            <w:pPr>
              <w:widowControl/>
              <w:spacing w:line="300" w:lineRule="auto"/>
              <w:ind w:right="-874" w:rightChars="-416"/>
              <w:jc w:val="left"/>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42505615</w:t>
            </w:r>
          </w:p>
        </w:tc>
        <w:tc>
          <w:tcPr>
            <w:tcW w:w="1038" w:type="dxa"/>
            <w:noWrap w:val="0"/>
            <w:vAlign w:val="center"/>
          </w:tcPr>
          <w:p>
            <w:pPr>
              <w:widowControl/>
              <w:spacing w:line="300" w:lineRule="auto"/>
              <w:ind w:right="-874" w:rightChars="-416"/>
              <w:rPr>
                <w:rFonts w:hint="eastAsia" w:ascii="仿宋" w:hAnsi="仿宋" w:eastAsia="仿宋" w:cs="仿宋"/>
                <w:b w:val="0"/>
                <w:bCs/>
                <w:kern w:val="22"/>
                <w:sz w:val="28"/>
                <w:szCs w:val="28"/>
              </w:rPr>
            </w:pPr>
            <w:r>
              <w:rPr>
                <w:rFonts w:hint="eastAsia" w:ascii="仿宋" w:hAnsi="仿宋" w:eastAsia="仿宋" w:cs="仿宋"/>
                <w:b w:val="0"/>
                <w:bCs/>
                <w:kern w:val="22"/>
                <w:sz w:val="28"/>
                <w:szCs w:val="28"/>
              </w:rPr>
              <w:t>19/19</w:t>
            </w:r>
          </w:p>
        </w:tc>
        <w:tc>
          <w:tcPr>
            <w:tcW w:w="880"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1.75</w:t>
            </w:r>
          </w:p>
        </w:tc>
        <w:tc>
          <w:tcPr>
            <w:tcW w:w="828" w:type="dxa"/>
            <w:noWrap w:val="0"/>
            <w:vAlign w:val="center"/>
          </w:tcPr>
          <w:p>
            <w:pPr>
              <w:rPr>
                <w:rFonts w:hint="eastAsia" w:ascii="仿宋" w:hAnsi="仿宋" w:eastAsia="仿宋" w:cs="仿宋"/>
                <w:b w:val="0"/>
                <w:bCs/>
                <w:sz w:val="28"/>
                <w:szCs w:val="28"/>
              </w:rPr>
            </w:pPr>
            <w:r>
              <w:rPr>
                <w:rFonts w:hint="eastAsia" w:ascii="仿宋" w:hAnsi="仿宋" w:eastAsia="仿宋" w:cs="仿宋"/>
                <w:b w:val="0"/>
                <w:bCs/>
                <w:kern w:val="22"/>
                <w:sz w:val="28"/>
                <w:szCs w:val="28"/>
              </w:rPr>
              <w:t>1600</w:t>
            </w:r>
          </w:p>
        </w:tc>
        <w:tc>
          <w:tcPr>
            <w:tcW w:w="699" w:type="dxa"/>
            <w:noWrap w:val="0"/>
            <w:vAlign w:val="center"/>
          </w:tcPr>
          <w:p>
            <w:pPr>
              <w:jc w:val="center"/>
              <w:rPr>
                <w:rFonts w:hint="eastAsia" w:ascii="仿宋" w:hAnsi="仿宋" w:eastAsia="仿宋" w:cs="仿宋"/>
                <w:b w:val="0"/>
                <w:bCs/>
                <w:sz w:val="28"/>
                <w:szCs w:val="28"/>
              </w:rPr>
            </w:pPr>
            <w:r>
              <w:rPr>
                <w:rFonts w:hint="eastAsia" w:ascii="仿宋" w:hAnsi="仿宋" w:eastAsia="仿宋" w:cs="仿宋"/>
                <w:b w:val="0"/>
                <w:bCs/>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感染科7号</w:t>
            </w:r>
          </w:p>
        </w:tc>
        <w:tc>
          <w:tcPr>
            <w:tcW w:w="1992"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西门子</w:t>
            </w:r>
          </w:p>
        </w:tc>
        <w:tc>
          <w:tcPr>
            <w:tcW w:w="1471"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XDL1910691</w:t>
            </w:r>
          </w:p>
        </w:tc>
        <w:tc>
          <w:tcPr>
            <w:tcW w:w="103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3/3</w:t>
            </w:r>
          </w:p>
        </w:tc>
        <w:tc>
          <w:tcPr>
            <w:tcW w:w="880"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1.00</w:t>
            </w:r>
          </w:p>
        </w:tc>
        <w:tc>
          <w:tcPr>
            <w:tcW w:w="828" w:type="dxa"/>
            <w:noWrap w:val="0"/>
            <w:vAlign w:val="center"/>
          </w:tcPr>
          <w:p>
            <w:pP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1600</w:t>
            </w:r>
          </w:p>
        </w:tc>
        <w:tc>
          <w:tcPr>
            <w:tcW w:w="699" w:type="dxa"/>
            <w:noWrap w:val="0"/>
            <w:vAlign w:val="center"/>
          </w:tcPr>
          <w:p>
            <w:pPr>
              <w:jc w:val="center"/>
              <w:rPr>
                <w:rFonts w:hint="eastAsia" w:ascii="仿宋" w:hAnsi="仿宋" w:eastAsia="仿宋" w:cs="仿宋"/>
                <w:b w:val="0"/>
                <w:bCs/>
                <w:color w:val="auto"/>
                <w:kern w:val="22"/>
                <w:sz w:val="28"/>
                <w:szCs w:val="28"/>
              </w:rPr>
            </w:pPr>
            <w:r>
              <w:rPr>
                <w:rFonts w:hint="eastAsia" w:ascii="仿宋" w:hAnsi="仿宋" w:eastAsia="仿宋" w:cs="仿宋"/>
                <w:b w:val="0"/>
                <w:bCs/>
                <w:color w:val="auto"/>
                <w:kern w:val="22"/>
                <w:sz w:val="28"/>
                <w:szCs w:val="28"/>
              </w:rPr>
              <w:t>1</w:t>
            </w:r>
          </w:p>
        </w:tc>
        <w:tc>
          <w:tcPr>
            <w:tcW w:w="1719"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1"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微创中心</w:t>
            </w:r>
          </w:p>
        </w:tc>
        <w:tc>
          <w:tcPr>
            <w:tcW w:w="1992" w:type="dxa"/>
            <w:noWrap w:val="0"/>
            <w:vAlign w:val="center"/>
          </w:tcPr>
          <w:p>
            <w:pPr>
              <w:rPr>
                <w:rFonts w:hint="eastAsia" w:ascii="仿宋" w:hAnsi="仿宋" w:eastAsia="仿宋" w:cs="仿宋"/>
                <w:b w:val="0"/>
                <w:bCs/>
                <w:color w:val="auto"/>
                <w:kern w:val="22"/>
                <w:sz w:val="28"/>
                <w:szCs w:val="28"/>
                <w:highlight w:val="none"/>
                <w:lang w:eastAsia="zh-CN"/>
              </w:rPr>
            </w:pPr>
            <w:r>
              <w:rPr>
                <w:rFonts w:hint="eastAsia" w:ascii="仿宋" w:hAnsi="仿宋" w:eastAsia="仿宋" w:cs="仿宋"/>
                <w:b w:val="0"/>
                <w:bCs/>
                <w:color w:val="auto"/>
                <w:kern w:val="22"/>
                <w:sz w:val="28"/>
                <w:szCs w:val="28"/>
                <w:highlight w:val="none"/>
                <w:lang w:eastAsia="zh-CN"/>
              </w:rPr>
              <w:t>慕尼黑</w:t>
            </w:r>
          </w:p>
        </w:tc>
        <w:tc>
          <w:tcPr>
            <w:tcW w:w="1471" w:type="dxa"/>
            <w:noWrap w:val="0"/>
            <w:vAlign w:val="top"/>
          </w:tcPr>
          <w:p>
            <w:pPr>
              <w:widowControl/>
              <w:spacing w:line="300" w:lineRule="auto"/>
              <w:ind w:right="-874" w:rightChars="-416"/>
              <w:jc w:val="left"/>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LMH2020124LI</w:t>
            </w:r>
          </w:p>
        </w:tc>
        <w:tc>
          <w:tcPr>
            <w:tcW w:w="1038"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2/2</w:t>
            </w:r>
          </w:p>
        </w:tc>
        <w:tc>
          <w:tcPr>
            <w:tcW w:w="880"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1.0</w:t>
            </w:r>
          </w:p>
        </w:tc>
        <w:tc>
          <w:tcPr>
            <w:tcW w:w="828" w:type="dxa"/>
            <w:noWrap w:val="0"/>
            <w:vAlign w:val="center"/>
          </w:tcPr>
          <w:p>
            <w:pP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1275</w:t>
            </w:r>
          </w:p>
        </w:tc>
        <w:tc>
          <w:tcPr>
            <w:tcW w:w="699" w:type="dxa"/>
            <w:noWrap w:val="0"/>
            <w:vAlign w:val="center"/>
          </w:tcPr>
          <w:p>
            <w:pPr>
              <w:jc w:val="center"/>
              <w:rPr>
                <w:rFonts w:hint="eastAsia" w:ascii="仿宋" w:hAnsi="仿宋" w:eastAsia="仿宋" w:cs="仿宋"/>
                <w:b w:val="0"/>
                <w:bCs/>
                <w:color w:val="auto"/>
                <w:kern w:val="22"/>
                <w:sz w:val="28"/>
                <w:szCs w:val="28"/>
                <w:highlight w:val="none"/>
                <w:lang w:val="en-US" w:eastAsia="zh-CN"/>
              </w:rPr>
            </w:pPr>
            <w:r>
              <w:rPr>
                <w:rFonts w:hint="eastAsia" w:ascii="仿宋" w:hAnsi="仿宋" w:eastAsia="仿宋" w:cs="仿宋"/>
                <w:b w:val="0"/>
                <w:bCs/>
                <w:color w:val="auto"/>
                <w:kern w:val="22"/>
                <w:sz w:val="28"/>
                <w:szCs w:val="28"/>
                <w:highlight w:val="none"/>
                <w:lang w:val="en-US" w:eastAsia="zh-CN"/>
              </w:rPr>
              <w:t>1</w:t>
            </w:r>
          </w:p>
        </w:tc>
        <w:tc>
          <w:tcPr>
            <w:tcW w:w="1719" w:type="dxa"/>
            <w:noWrap w:val="0"/>
            <w:vAlign w:val="center"/>
          </w:tcPr>
          <w:p>
            <w:pPr>
              <w:widowControl/>
              <w:spacing w:line="300" w:lineRule="auto"/>
              <w:ind w:right="-874" w:rightChars="-416"/>
              <w:rPr>
                <w:rFonts w:hint="eastAsia" w:ascii="仿宋" w:hAnsi="仿宋" w:eastAsia="仿宋" w:cs="仿宋"/>
                <w:b w:val="0"/>
                <w:bCs/>
                <w:color w:val="auto"/>
                <w:kern w:val="2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110" w:type="dxa"/>
            <w:gridSpan w:val="6"/>
            <w:noWrap w:val="0"/>
            <w:vAlign w:val="center"/>
          </w:tcPr>
          <w:p>
            <w:pPr>
              <w:tabs>
                <w:tab w:val="left" w:pos="5414"/>
              </w:tabs>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ab/>
            </w:r>
            <w:r>
              <w:rPr>
                <w:rFonts w:hint="eastAsia" w:ascii="仿宋" w:hAnsi="仿宋" w:eastAsia="仿宋" w:cs="仿宋"/>
                <w:b w:val="0"/>
                <w:bCs/>
                <w:color w:val="FF0000"/>
                <w:kern w:val="22"/>
                <w:sz w:val="28"/>
                <w:szCs w:val="28"/>
                <w:highlight w:val="none"/>
                <w:lang w:val="en-US" w:eastAsia="zh-CN"/>
              </w:rPr>
              <w:t xml:space="preserve">        合计</w:t>
            </w:r>
          </w:p>
        </w:tc>
        <w:tc>
          <w:tcPr>
            <w:tcW w:w="699" w:type="dxa"/>
            <w:noWrap w:val="0"/>
            <w:vAlign w:val="center"/>
          </w:tcPr>
          <w:p>
            <w:pPr>
              <w:jc w:val="center"/>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kern w:val="22"/>
                <w:sz w:val="28"/>
                <w:szCs w:val="28"/>
                <w:highlight w:val="none"/>
              </w:rPr>
              <w:t>1</w:t>
            </w:r>
            <w:r>
              <w:rPr>
                <w:rFonts w:hint="eastAsia" w:ascii="仿宋" w:hAnsi="仿宋" w:eastAsia="仿宋" w:cs="仿宋"/>
                <w:b w:val="0"/>
                <w:bCs/>
                <w:kern w:val="22"/>
                <w:sz w:val="28"/>
                <w:szCs w:val="28"/>
                <w:highlight w:val="none"/>
                <w:lang w:val="en-US" w:eastAsia="zh-CN"/>
              </w:rPr>
              <w:t>6</w:t>
            </w:r>
          </w:p>
        </w:tc>
        <w:tc>
          <w:tcPr>
            <w:tcW w:w="1719" w:type="dxa"/>
            <w:noWrap w:val="0"/>
            <w:vAlign w:val="center"/>
          </w:tcPr>
          <w:p>
            <w:pPr>
              <w:widowControl/>
              <w:spacing w:line="300" w:lineRule="auto"/>
              <w:ind w:right="-874" w:rightChars="-416"/>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0528" w:type="dxa"/>
            <w:gridSpan w:val="8"/>
            <w:noWrap w:val="0"/>
            <w:vAlign w:val="top"/>
          </w:tcPr>
          <w:p>
            <w:pPr>
              <w:widowControl/>
              <w:spacing w:line="300" w:lineRule="auto"/>
              <w:ind w:right="-874" w:rightChars="-416"/>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供应商报价合计</w:t>
            </w:r>
            <w:r>
              <w:rPr>
                <w:rFonts w:hint="eastAsia" w:ascii="仿宋" w:hAnsi="仿宋" w:eastAsia="仿宋" w:cs="仿宋"/>
                <w:b w:val="0"/>
                <w:bCs/>
                <w:color w:val="FF0000"/>
                <w:kern w:val="22"/>
                <w:sz w:val="28"/>
                <w:szCs w:val="28"/>
                <w:highlight w:val="none"/>
              </w:rPr>
              <w:t>金额：</w:t>
            </w:r>
            <w:r>
              <w:rPr>
                <w:rFonts w:hint="eastAsia" w:ascii="仿宋" w:hAnsi="仿宋" w:eastAsia="仿宋" w:cs="仿宋"/>
                <w:b w:val="0"/>
                <w:bCs/>
                <w:color w:val="FF0000"/>
                <w:kern w:val="22"/>
                <w:sz w:val="28"/>
                <w:szCs w:val="28"/>
                <w:highlight w:val="none"/>
                <w:lang w:val="en-US" w:eastAsia="zh-CN"/>
              </w:rPr>
              <w:t xml:space="preserve">                   </w:t>
            </w:r>
            <w:r>
              <w:rPr>
                <w:rFonts w:hint="eastAsia" w:ascii="仿宋" w:hAnsi="仿宋" w:eastAsia="仿宋" w:cs="仿宋"/>
                <w:b w:val="0"/>
                <w:bCs/>
                <w:color w:val="FF0000"/>
                <w:kern w:val="22"/>
                <w:sz w:val="28"/>
                <w:szCs w:val="28"/>
                <w:highlight w:val="none"/>
              </w:rPr>
              <w:t>元</w:t>
            </w:r>
            <w:r>
              <w:rPr>
                <w:rFonts w:hint="eastAsia" w:ascii="仿宋" w:hAnsi="仿宋" w:eastAsia="仿宋" w:cs="仿宋"/>
                <w:b w:val="0"/>
                <w:bCs/>
                <w:color w:val="FF0000"/>
                <w:kern w:val="22"/>
                <w:sz w:val="28"/>
                <w:szCs w:val="28"/>
                <w:highlight w:val="none"/>
                <w:lang w:val="en-US" w:eastAsia="zh-CN"/>
              </w:rPr>
              <w:t>/三</w:t>
            </w:r>
            <w:r>
              <w:rPr>
                <w:rFonts w:hint="eastAsia" w:ascii="仿宋" w:hAnsi="仿宋" w:eastAsia="仿宋" w:cs="仿宋"/>
                <w:b w:val="0"/>
                <w:bCs/>
                <w:color w:val="FF0000"/>
                <w:kern w:val="22"/>
                <w:sz w:val="28"/>
                <w:szCs w:val="28"/>
                <w:highlight w:val="none"/>
              </w:rPr>
              <w:t xml:space="preserve">年 </w:t>
            </w:r>
            <w:r>
              <w:rPr>
                <w:rFonts w:hint="eastAsia" w:ascii="仿宋" w:hAnsi="仿宋" w:eastAsia="仿宋" w:cs="仿宋"/>
                <w:b w:val="0"/>
                <w:bCs/>
                <w:color w:val="FF0000"/>
                <w:kern w:val="22"/>
                <w:sz w:val="28"/>
                <w:szCs w:val="28"/>
                <w:highlight w:val="none"/>
                <w:lang w:val="en-US" w:eastAsia="zh-CN"/>
              </w:rPr>
              <w:t xml:space="preserve"> </w:t>
            </w:r>
          </w:p>
          <w:p>
            <w:pPr>
              <w:spacing w:line="360" w:lineRule="auto"/>
              <w:ind w:right="-1"/>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sz w:val="28"/>
                <w:szCs w:val="28"/>
                <w:lang w:val="en-US" w:eastAsia="zh-CN"/>
              </w:rPr>
              <w:t>注：供应商报价的维保费总价不得超过</w:t>
            </w:r>
            <w:r>
              <w:rPr>
                <w:rFonts w:hint="eastAsia" w:ascii="仿宋" w:hAnsi="仿宋" w:eastAsia="仿宋" w:cs="仿宋"/>
                <w:b w:val="0"/>
                <w:bCs/>
                <w:sz w:val="28"/>
                <w:szCs w:val="28"/>
                <w:u w:val="single"/>
                <w:lang w:val="en-US" w:eastAsia="zh-CN"/>
              </w:rPr>
              <w:t>252600</w:t>
            </w:r>
            <w:bookmarkStart w:id="20" w:name="_GoBack"/>
            <w:bookmarkEnd w:id="20"/>
            <w:r>
              <w:rPr>
                <w:rFonts w:hint="eastAsia" w:ascii="仿宋" w:hAnsi="仿宋" w:eastAsia="仿宋" w:cs="仿宋"/>
                <w:b w:val="0"/>
                <w:bCs/>
                <w:sz w:val="28"/>
                <w:szCs w:val="28"/>
                <w:u w:val="single"/>
                <w:lang w:val="en-US" w:eastAsia="zh-CN"/>
              </w:rPr>
              <w:t>元/3年</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 xml:space="preserve">  </w:t>
            </w:r>
            <w:r>
              <w:rPr>
                <w:rFonts w:hint="eastAsia" w:ascii="仿宋" w:hAnsi="仿宋" w:eastAsia="仿宋" w:cs="仿宋"/>
                <w:b w:val="0"/>
                <w:bCs/>
                <w:kern w:val="22"/>
                <w:sz w:val="28"/>
                <w:szCs w:val="28"/>
              </w:rPr>
              <w:t xml:space="preserve"> </w:t>
            </w:r>
          </w:p>
          <w:p>
            <w:pPr>
              <w:widowControl/>
              <w:spacing w:line="300" w:lineRule="auto"/>
              <w:ind w:right="-874" w:rightChars="-416"/>
              <w:rPr>
                <w:rFonts w:hint="eastAsia" w:ascii="仿宋" w:hAnsi="仿宋" w:eastAsia="仿宋" w:cs="仿宋"/>
                <w:b w:val="0"/>
                <w:bCs/>
                <w:color w:val="FF0000"/>
                <w:kern w:val="22"/>
                <w:sz w:val="28"/>
                <w:szCs w:val="28"/>
                <w:highlight w:val="none"/>
                <w:lang w:val="en-US" w:eastAsia="zh-CN"/>
              </w:rPr>
            </w:pPr>
            <w:r>
              <w:rPr>
                <w:rFonts w:hint="eastAsia" w:ascii="仿宋" w:hAnsi="仿宋" w:eastAsia="仿宋" w:cs="仿宋"/>
                <w:b w:val="0"/>
                <w:bCs/>
                <w:color w:val="FF0000"/>
                <w:kern w:val="22"/>
                <w:sz w:val="28"/>
                <w:szCs w:val="28"/>
                <w:highlight w:val="none"/>
                <w:lang w:val="en-US" w:eastAsia="zh-CN"/>
              </w:rPr>
              <w:t xml:space="preserve">                                   报价供应商签字盖章：</w:t>
            </w:r>
          </w:p>
          <w:p>
            <w:pPr>
              <w:widowControl/>
              <w:spacing w:line="300" w:lineRule="auto"/>
              <w:ind w:right="-874" w:rightChars="-416"/>
              <w:jc w:val="left"/>
              <w:rPr>
                <w:rFonts w:hint="eastAsia" w:ascii="仿宋" w:hAnsi="仿宋" w:eastAsia="仿宋" w:cs="仿宋"/>
                <w:b w:val="0"/>
                <w:bCs/>
                <w:kern w:val="22"/>
                <w:sz w:val="28"/>
                <w:szCs w:val="28"/>
                <w:highlight w:val="yellow"/>
                <w:lang w:val="en-US" w:eastAsia="zh-CN"/>
              </w:rPr>
            </w:pPr>
          </w:p>
        </w:tc>
      </w:tr>
    </w:tbl>
    <w:p>
      <w:pPr>
        <w:adjustRightInd w:val="0"/>
        <w:spacing w:line="360" w:lineRule="auto"/>
        <w:rPr>
          <w:rFonts w:ascii="仿宋" w:hAnsi="仿宋" w:eastAsia="仿宋" w:cs="仿宋"/>
          <w:bCs/>
          <w:spacing w:val="8"/>
          <w:sz w:val="24"/>
          <w:szCs w:val="24"/>
        </w:rPr>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E7906C-A713-45C6-82FE-86D75BC2B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A7B3FF76-24C9-4614-97D3-18FD36BBAA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B78A7"/>
    <w:rsid w:val="02CF50C0"/>
    <w:rsid w:val="04264DDE"/>
    <w:rsid w:val="068D3C6C"/>
    <w:rsid w:val="06CB01B2"/>
    <w:rsid w:val="0735445F"/>
    <w:rsid w:val="082D68C0"/>
    <w:rsid w:val="099C21AA"/>
    <w:rsid w:val="0AC7222B"/>
    <w:rsid w:val="0C653F5B"/>
    <w:rsid w:val="10E16B8A"/>
    <w:rsid w:val="11692E07"/>
    <w:rsid w:val="13502D0A"/>
    <w:rsid w:val="13C479B3"/>
    <w:rsid w:val="14081913"/>
    <w:rsid w:val="152534E9"/>
    <w:rsid w:val="155F532E"/>
    <w:rsid w:val="16EB3B9B"/>
    <w:rsid w:val="190A1374"/>
    <w:rsid w:val="19377C8F"/>
    <w:rsid w:val="1A8106F0"/>
    <w:rsid w:val="1AA46DAA"/>
    <w:rsid w:val="1B4A3E71"/>
    <w:rsid w:val="1BF20354"/>
    <w:rsid w:val="1C0D55E0"/>
    <w:rsid w:val="1D64349D"/>
    <w:rsid w:val="1D7F73F8"/>
    <w:rsid w:val="1E561981"/>
    <w:rsid w:val="1ECC20E3"/>
    <w:rsid w:val="1FAA5B7D"/>
    <w:rsid w:val="24D740D4"/>
    <w:rsid w:val="25B17454"/>
    <w:rsid w:val="29D11F74"/>
    <w:rsid w:val="2BFF1D42"/>
    <w:rsid w:val="2C33078A"/>
    <w:rsid w:val="2C84328E"/>
    <w:rsid w:val="2D520CBF"/>
    <w:rsid w:val="2D5C161A"/>
    <w:rsid w:val="2E274D7B"/>
    <w:rsid w:val="2FE45165"/>
    <w:rsid w:val="309B2467"/>
    <w:rsid w:val="31010479"/>
    <w:rsid w:val="31091496"/>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AD1CF2"/>
    <w:rsid w:val="4DE2558B"/>
    <w:rsid w:val="4DF85D67"/>
    <w:rsid w:val="517E212C"/>
    <w:rsid w:val="542E6249"/>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F0CB2"/>
    <w:rsid w:val="6A9D0B41"/>
    <w:rsid w:val="6C371961"/>
    <w:rsid w:val="6D2825EA"/>
    <w:rsid w:val="6D594018"/>
    <w:rsid w:val="6F601F1C"/>
    <w:rsid w:val="70666005"/>
    <w:rsid w:val="72B7769C"/>
    <w:rsid w:val="748C1DB2"/>
    <w:rsid w:val="76AE2E69"/>
    <w:rsid w:val="792B78C2"/>
    <w:rsid w:val="797D43BF"/>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2"/>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0"/>
    <w:autoRedefine/>
    <w:unhideWhenUsed/>
    <w:qFormat/>
    <w:uiPriority w:val="0"/>
    <w:pPr>
      <w:jc w:val="left"/>
    </w:pPr>
    <w:rPr>
      <w:rFonts w:ascii="宋体"/>
      <w:kern w:val="0"/>
      <w:sz w:val="34"/>
      <w:szCs w:val="22"/>
    </w:rPr>
  </w:style>
  <w:style w:type="paragraph" w:styleId="6">
    <w:name w:val="Body Text"/>
    <w:basedOn w:val="1"/>
    <w:next w:val="7"/>
    <w:link w:val="29"/>
    <w:autoRedefine/>
    <w:qFormat/>
    <w:uiPriority w:val="0"/>
    <w:pPr>
      <w:spacing w:after="120"/>
    </w:pPr>
  </w:style>
  <w:style w:type="paragraph" w:styleId="7">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1"/>
    <w:autoRedefine/>
    <w:qFormat/>
    <w:uiPriority w:val="0"/>
    <w:pPr>
      <w:ind w:firstLine="630"/>
    </w:pPr>
    <w:rPr>
      <w:sz w:val="32"/>
    </w:rPr>
  </w:style>
  <w:style w:type="paragraph" w:styleId="9">
    <w:name w:val="Balloon Text"/>
    <w:basedOn w:val="1"/>
    <w:link w:val="32"/>
    <w:autoRedefine/>
    <w:qFormat/>
    <w:uiPriority w:val="0"/>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标题 5（有编号）（绿盟科技）"/>
    <w:basedOn w:val="21"/>
    <w:next w:val="22"/>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autoRedefine/>
    <w:semiHidden/>
    <w:qFormat/>
    <w:uiPriority w:val="99"/>
    <w:rPr>
      <w:sz w:val="18"/>
      <w:szCs w:val="18"/>
    </w:rPr>
  </w:style>
  <w:style w:type="character" w:customStyle="1" w:styleId="26">
    <w:name w:val="页脚 Char"/>
    <w:basedOn w:val="16"/>
    <w:link w:val="10"/>
    <w:autoRedefine/>
    <w:semiHidden/>
    <w:qFormat/>
    <w:uiPriority w:val="99"/>
    <w:rPr>
      <w:sz w:val="18"/>
      <w:szCs w:val="18"/>
    </w:rPr>
  </w:style>
  <w:style w:type="character" w:customStyle="1" w:styleId="27">
    <w:name w:val="标题 1 Char"/>
    <w:basedOn w:val="16"/>
    <w:link w:val="3"/>
    <w:autoRedefine/>
    <w:qFormat/>
    <w:uiPriority w:val="0"/>
    <w:rPr>
      <w:rFonts w:ascii="黑体" w:hAnsi="黑体" w:eastAsia="黑体" w:cs="Times New Roman"/>
      <w:b/>
      <w:kern w:val="44"/>
      <w:sz w:val="32"/>
      <w:szCs w:val="32"/>
    </w:rPr>
  </w:style>
  <w:style w:type="character" w:customStyle="1" w:styleId="28">
    <w:name w:val="标题 2 Char"/>
    <w:basedOn w:val="16"/>
    <w:link w:val="4"/>
    <w:autoRedefine/>
    <w:qFormat/>
    <w:uiPriority w:val="0"/>
    <w:rPr>
      <w:rFonts w:ascii="Arial" w:hAnsi="Arial" w:eastAsia="黑体" w:cs="Times New Roman"/>
      <w:sz w:val="30"/>
      <w:szCs w:val="30"/>
    </w:rPr>
  </w:style>
  <w:style w:type="character" w:customStyle="1" w:styleId="29">
    <w:name w:val="正文文本 Char"/>
    <w:basedOn w:val="16"/>
    <w:link w:val="6"/>
    <w:autoRedefine/>
    <w:qFormat/>
    <w:uiPriority w:val="99"/>
    <w:rPr>
      <w:rFonts w:ascii="Times New Roman" w:hAnsi="Times New Roman" w:eastAsia="宋体" w:cs="Times New Roman"/>
      <w:szCs w:val="20"/>
    </w:rPr>
  </w:style>
  <w:style w:type="character" w:customStyle="1" w:styleId="30">
    <w:name w:val="批注文字 Char"/>
    <w:basedOn w:val="16"/>
    <w:link w:val="5"/>
    <w:autoRedefine/>
    <w:qFormat/>
    <w:uiPriority w:val="99"/>
    <w:rPr>
      <w:rFonts w:ascii="宋体" w:hAnsi="Times New Roman" w:eastAsia="宋体" w:cs="Times New Roman"/>
      <w:kern w:val="0"/>
      <w:sz w:val="34"/>
    </w:rPr>
  </w:style>
  <w:style w:type="character" w:customStyle="1" w:styleId="31">
    <w:name w:val="正文文本缩进 Char"/>
    <w:basedOn w:val="16"/>
    <w:link w:val="8"/>
    <w:autoRedefine/>
    <w:qFormat/>
    <w:uiPriority w:val="0"/>
    <w:rPr>
      <w:rFonts w:ascii="Times New Roman" w:hAnsi="Times New Roman" w:eastAsia="宋体" w:cs="Times New Roman"/>
      <w:sz w:val="32"/>
      <w:szCs w:val="20"/>
    </w:rPr>
  </w:style>
  <w:style w:type="character" w:customStyle="1" w:styleId="32">
    <w:name w:val="批注框文本 Char"/>
    <w:basedOn w:val="16"/>
    <w:link w:val="9"/>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2"/>
    <w:autoRedefine/>
    <w:qFormat/>
    <w:uiPriority w:val="0"/>
    <w:rPr>
      <w:rFonts w:ascii="宋体" w:hAnsi="宋体" w:eastAsia="宋体" w:cs="Times New Roman"/>
      <w:b/>
      <w:kern w:val="0"/>
      <w:sz w:val="24"/>
      <w:szCs w:val="24"/>
    </w:rPr>
  </w:style>
  <w:style w:type="character" w:customStyle="1" w:styleId="36">
    <w:name w:val="font31"/>
    <w:basedOn w:val="16"/>
    <w:autoRedefine/>
    <w:qFormat/>
    <w:uiPriority w:val="0"/>
    <w:rPr>
      <w:rFonts w:hint="eastAsia" w:ascii="宋体" w:hAnsi="宋体" w:eastAsia="宋体" w:cs="宋体"/>
      <w:color w:val="0000FF"/>
      <w:sz w:val="28"/>
      <w:szCs w:val="28"/>
      <w:u w:val="none"/>
    </w:rPr>
  </w:style>
  <w:style w:type="character" w:customStyle="1" w:styleId="37">
    <w:name w:val="font01"/>
    <w:basedOn w:val="16"/>
    <w:autoRedefine/>
    <w:qFormat/>
    <w:uiPriority w:val="0"/>
    <w:rPr>
      <w:rFonts w:hint="eastAsia" w:ascii="宋体" w:hAnsi="宋体" w:eastAsia="宋体" w:cs="宋体"/>
      <w:color w:val="000000"/>
      <w:sz w:val="28"/>
      <w:szCs w:val="28"/>
      <w:u w:val="none"/>
    </w:rPr>
  </w:style>
  <w:style w:type="paragraph" w:customStyle="1" w:styleId="38">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7"/>
    <w:autoRedefine/>
    <w:qFormat/>
    <w:uiPriority w:val="0"/>
    <w:rPr>
      <w:rFonts w:ascii="Cambria" w:hAnsi="Cambria"/>
      <w:b/>
      <w:bCs/>
      <w:color w:val="000000"/>
      <w:kern w:val="28"/>
      <w:sz w:val="32"/>
      <w:szCs w:val="32"/>
    </w:rPr>
  </w:style>
  <w:style w:type="character" w:customStyle="1" w:styleId="46">
    <w:name w:val="font23"/>
    <w:basedOn w:val="16"/>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6"/>
    <w:autoRedefine/>
    <w:qFormat/>
    <w:uiPriority w:val="0"/>
    <w:rPr>
      <w:rFonts w:ascii="Arial" w:hAnsi="Arial" w:cs="Arial"/>
      <w:color w:val="000000"/>
      <w:sz w:val="19"/>
      <w:szCs w:val="19"/>
      <w:u w:val="none"/>
    </w:rPr>
  </w:style>
  <w:style w:type="character" w:customStyle="1" w:styleId="50">
    <w:name w:val="font201"/>
    <w:basedOn w:val="16"/>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6"/>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4</TotalTime>
  <ScaleCrop>false</ScaleCrop>
  <LinksUpToDate>false</LinksUpToDate>
  <CharactersWithSpaces>18172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2024-03-18T02:13:00Z</cp:lastPrinted>
  <dcterms:modified xsi:type="dcterms:W3CDTF">2024-03-25T00:18:03Z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9B864FC181064F48B63750822648A68C_13</vt:lpwstr>
  </property>
</Properties>
</file>