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00A25">
      <w:pPr>
        <w:pStyle w:val="3"/>
      </w:pPr>
    </w:p>
    <w:p w14:paraId="3F21CA79">
      <w:pPr>
        <w:jc w:val="center"/>
        <w:rPr>
          <w:rFonts w:hint="eastAsia" w:ascii="方正公文小标宋" w:hAnsi="方正公文小标宋" w:eastAsia="方正公文小标宋" w:cs="方正公文小标宋"/>
          <w:sz w:val="32"/>
          <w:szCs w:val="32"/>
        </w:rPr>
      </w:pPr>
      <w:r>
        <w:rPr>
          <w:rFonts w:hint="eastAsia" w:ascii="方正公文小标宋" w:hAnsi="方正公文小标宋" w:eastAsia="方正公文小标宋" w:cs="方正公文小标宋"/>
          <w:sz w:val="32"/>
          <w:szCs w:val="32"/>
        </w:rPr>
        <w:t>大竹县人民医院信息系统</w:t>
      </w:r>
      <w:r>
        <w:rPr>
          <w:rFonts w:hint="eastAsia" w:ascii="方正公文小标宋" w:hAnsi="方正公文小标宋" w:eastAsia="方正公文小标宋" w:cs="方正公文小标宋"/>
          <w:sz w:val="32"/>
          <w:szCs w:val="32"/>
          <w:lang w:val="en-US" w:eastAsia="zh-CN"/>
        </w:rPr>
        <w:t>商用</w:t>
      </w:r>
      <w:r>
        <w:rPr>
          <w:rFonts w:hint="eastAsia" w:ascii="方正公文小标宋" w:hAnsi="方正公文小标宋" w:eastAsia="方正公文小标宋" w:cs="方正公文小标宋"/>
          <w:sz w:val="32"/>
          <w:szCs w:val="32"/>
        </w:rPr>
        <w:t>密码安全性评估服务项目</w:t>
      </w:r>
    </w:p>
    <w:p w14:paraId="3F3DD45C">
      <w:pPr>
        <w:pStyle w:val="12"/>
        <w:spacing w:line="560" w:lineRule="exact"/>
        <w:ind w:firstLine="0" w:firstLineChars="0"/>
        <w:jc w:val="left"/>
        <w:rPr>
          <w:rFonts w:hint="eastAsia" w:ascii="黑体" w:hAnsi="黑体" w:eastAsia="黑体" w:cs="黑体"/>
          <w:sz w:val="28"/>
          <w:szCs w:val="28"/>
        </w:rPr>
      </w:pPr>
    </w:p>
    <w:p w14:paraId="7C6AD3C0">
      <w:pPr>
        <w:pStyle w:val="12"/>
        <w:spacing w:line="560" w:lineRule="exact"/>
        <w:ind w:firstLine="562"/>
        <w:rPr>
          <w:rFonts w:hint="eastAsia" w:ascii="仿宋" w:hAnsi="仿宋" w:eastAsia="仿宋" w:cs="仿宋"/>
          <w:sz w:val="28"/>
          <w:szCs w:val="28"/>
        </w:rPr>
      </w:pPr>
      <w:r>
        <w:rPr>
          <w:rFonts w:hint="eastAsia" w:ascii="仿宋" w:hAnsi="仿宋" w:eastAsia="仿宋" w:cs="仿宋"/>
          <w:b/>
          <w:bCs/>
          <w:sz w:val="28"/>
          <w:szCs w:val="28"/>
        </w:rPr>
        <w:t>一、参加现场报价的供应商应提供的资料：</w:t>
      </w:r>
    </w:p>
    <w:p w14:paraId="11F4995F">
      <w:pPr>
        <w:adjustRightInd w:val="0"/>
        <w:snapToGrid w:val="0"/>
        <w:spacing w:line="560" w:lineRule="exact"/>
        <w:ind w:firstLine="480"/>
        <w:rPr>
          <w:rFonts w:hint="eastAsia" w:ascii="仿宋" w:hAnsi="仿宋" w:eastAsia="仿宋" w:cs="仿宋"/>
          <w:sz w:val="28"/>
          <w:szCs w:val="28"/>
        </w:rPr>
      </w:pPr>
      <w:bookmarkStart w:id="0" w:name="_Toc30838_WPSOffice_Level2"/>
      <w:r>
        <w:rPr>
          <w:rFonts w:hint="eastAsia" w:ascii="仿宋" w:hAnsi="仿宋" w:eastAsia="仿宋" w:cs="仿宋"/>
          <w:sz w:val="28"/>
          <w:szCs w:val="28"/>
        </w:rPr>
        <w:t>1、有效的营业执照副本复印件加盖鲜章；</w:t>
      </w:r>
      <w:bookmarkEnd w:id="0"/>
    </w:p>
    <w:p w14:paraId="7EE8B03D">
      <w:pPr>
        <w:adjustRightInd w:val="0"/>
        <w:snapToGrid w:val="0"/>
        <w:spacing w:line="560" w:lineRule="exact"/>
        <w:ind w:firstLine="480"/>
        <w:rPr>
          <w:rFonts w:hint="eastAsia" w:ascii="仿宋" w:hAnsi="仿宋" w:eastAsia="仿宋" w:cs="仿宋"/>
          <w:sz w:val="28"/>
          <w:szCs w:val="28"/>
        </w:rPr>
      </w:pPr>
      <w:bookmarkStart w:id="1" w:name="_Toc28428_WPSOffice_Level2"/>
      <w:r>
        <w:rPr>
          <w:rFonts w:hint="eastAsia" w:ascii="仿宋" w:hAnsi="仿宋" w:eastAsia="仿宋" w:cs="仿宋"/>
          <w:sz w:val="28"/>
          <w:szCs w:val="28"/>
        </w:rPr>
        <w:t>2、</w:t>
      </w:r>
      <w:bookmarkEnd w:id="1"/>
      <w:r>
        <w:rPr>
          <w:rFonts w:hint="eastAsia" w:ascii="仿宋" w:hAnsi="仿宋" w:eastAsia="仿宋" w:cs="仿宋"/>
          <w:sz w:val="28"/>
          <w:szCs w:val="28"/>
        </w:rPr>
        <w:t>营业执照法定代表人的身份证复印件加盖鲜章；</w:t>
      </w:r>
    </w:p>
    <w:p w14:paraId="505EDC2D">
      <w:pPr>
        <w:adjustRightInd w:val="0"/>
        <w:snapToGrid w:val="0"/>
        <w:spacing w:line="560" w:lineRule="exact"/>
        <w:ind w:firstLine="480"/>
        <w:rPr>
          <w:rFonts w:hint="eastAsia" w:ascii="仿宋" w:hAnsi="仿宋" w:eastAsia="仿宋" w:cs="仿宋"/>
          <w:sz w:val="28"/>
          <w:szCs w:val="28"/>
        </w:rPr>
      </w:pPr>
      <w:bookmarkStart w:id="2" w:name="_Toc26110_WPSOffice_Level2"/>
      <w:r>
        <w:rPr>
          <w:rFonts w:hint="eastAsia" w:ascii="仿宋" w:hAnsi="仿宋" w:eastAsia="仿宋" w:cs="仿宋"/>
          <w:sz w:val="28"/>
          <w:szCs w:val="28"/>
        </w:rPr>
        <w:t>3、非营业执照法定代表人参加的提供：①授权委托书加盖鲜章；②法定代表人身份证复印件加盖鲜章；③授权代表身份证复印件加盖鲜章；</w:t>
      </w:r>
      <w:bookmarkEnd w:id="2"/>
      <w:r>
        <w:rPr>
          <w:rFonts w:hint="eastAsia" w:ascii="仿宋" w:hAnsi="仿宋" w:eastAsia="仿宋" w:cs="仿宋"/>
          <w:sz w:val="28"/>
          <w:szCs w:val="28"/>
        </w:rPr>
        <w:t xml:space="preserve"> </w:t>
      </w:r>
    </w:p>
    <w:p w14:paraId="7B138FA3">
      <w:pPr>
        <w:pStyle w:val="13"/>
        <w:spacing w:line="560" w:lineRule="exact"/>
        <w:ind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rPr>
        <w:t>二、项目预算</w:t>
      </w:r>
    </w:p>
    <w:p w14:paraId="0F9FE275">
      <w:pPr>
        <w:pStyle w:val="13"/>
        <w:spacing w:line="560" w:lineRule="exact"/>
        <w:ind w:firstLine="560" w:firstLineChars="200"/>
        <w:rPr>
          <w:rFonts w:hint="eastAsia" w:ascii="仿宋" w:hAnsi="仿宋" w:eastAsia="仿宋" w:cs="仿宋"/>
          <w:b/>
          <w:bCs/>
          <w:sz w:val="28"/>
          <w:szCs w:val="28"/>
        </w:rPr>
      </w:pPr>
      <w:r>
        <w:rPr>
          <w:rFonts w:hint="eastAsia" w:ascii="仿宋" w:hAnsi="仿宋" w:eastAsia="仿宋" w:cs="仿宋"/>
          <w:sz w:val="28"/>
          <w:szCs w:val="28"/>
        </w:rPr>
        <w:t>本项目采购总预算为</w:t>
      </w:r>
      <w:r>
        <w:rPr>
          <w:rFonts w:hint="default" w:ascii="Arial" w:hAnsi="Arial" w:eastAsia="仿宋" w:cs="Arial"/>
          <w:sz w:val="28"/>
          <w:szCs w:val="28"/>
        </w:rPr>
        <w:t>××</w:t>
      </w:r>
      <w:r>
        <w:rPr>
          <w:rFonts w:hint="eastAsia" w:ascii="仿宋" w:hAnsi="仿宋" w:eastAsia="仿宋" w:cs="仿宋"/>
          <w:sz w:val="28"/>
          <w:szCs w:val="28"/>
        </w:rPr>
        <w:t>元（大写：人民币</w:t>
      </w:r>
      <w:r>
        <w:rPr>
          <w:rFonts w:hint="default" w:ascii="Arial" w:hAnsi="Arial" w:eastAsia="仿宋" w:cs="Arial"/>
          <w:sz w:val="28"/>
          <w:szCs w:val="28"/>
        </w:rPr>
        <w:t>××</w:t>
      </w:r>
      <w:r>
        <w:rPr>
          <w:rFonts w:hint="eastAsia" w:ascii="仿宋" w:hAnsi="仿宋" w:eastAsia="仿宋" w:cs="仿宋"/>
          <w:sz w:val="28"/>
          <w:szCs w:val="28"/>
        </w:rPr>
        <w:t>元整）。本项目要求供应商报价为包干价，供应商的报价是供应商响应本项目服务内容、范围、要求等全部工作的价格体现，包括供应商完成本项目所需的一切费用，采购人不再额外支付其他任何费用，报价不得超过本项目采购预算。</w:t>
      </w:r>
    </w:p>
    <w:p w14:paraId="65CB456E">
      <w:pPr>
        <w:spacing w:line="56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三、采购标的</w:t>
      </w:r>
    </w:p>
    <w:p w14:paraId="58D70822">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采购人付费委托一家具有相应能力的供应商，完成</w:t>
      </w:r>
      <w:r>
        <w:rPr>
          <w:rFonts w:hint="eastAsia" w:ascii="仿宋_GB2312" w:hAnsi="仿宋_GB2312" w:eastAsia="仿宋_GB2312" w:cs="仿宋_GB2312"/>
          <w:sz w:val="28"/>
          <w:szCs w:val="28"/>
        </w:rPr>
        <w:t>大竹县人民医院信息系统</w:t>
      </w:r>
      <w:r>
        <w:rPr>
          <w:rFonts w:hint="eastAsia" w:ascii="仿宋_GB2312" w:hAnsi="仿宋_GB2312" w:eastAsia="仿宋_GB2312" w:cs="仿宋_GB2312"/>
          <w:sz w:val="28"/>
          <w:szCs w:val="28"/>
          <w:lang w:val="en-US" w:eastAsia="zh-CN"/>
        </w:rPr>
        <w:t>商用</w:t>
      </w:r>
      <w:r>
        <w:rPr>
          <w:rFonts w:hint="eastAsia" w:ascii="仿宋_GB2312" w:hAnsi="仿宋_GB2312" w:eastAsia="仿宋_GB2312" w:cs="仿宋_GB2312"/>
          <w:sz w:val="28"/>
          <w:szCs w:val="28"/>
        </w:rPr>
        <w:t>密码安全性评估工作</w:t>
      </w:r>
      <w:r>
        <w:rPr>
          <w:rFonts w:hint="eastAsia" w:ascii="仿宋" w:hAnsi="仿宋" w:eastAsia="仿宋" w:cs="仿宋"/>
          <w:sz w:val="28"/>
          <w:szCs w:val="28"/>
        </w:rPr>
        <w:t>。</w:t>
      </w:r>
    </w:p>
    <w:p w14:paraId="698C8D43">
      <w:pPr>
        <w:spacing w:line="560" w:lineRule="exact"/>
        <w:ind w:firstLine="560"/>
        <w:rPr>
          <w:rFonts w:hint="eastAsia" w:ascii="仿宋" w:hAnsi="仿宋" w:eastAsia="仿宋" w:cs="仿宋"/>
          <w:sz w:val="28"/>
          <w:szCs w:val="28"/>
        </w:rPr>
      </w:pPr>
      <w:r>
        <w:rPr>
          <w:rFonts w:hint="eastAsia" w:ascii="仿宋" w:hAnsi="仿宋" w:eastAsia="仿宋" w:cs="仿宋"/>
          <w:sz w:val="28"/>
          <w:szCs w:val="28"/>
        </w:rPr>
        <w:t>由该供应商按</w:t>
      </w:r>
      <w:r>
        <w:rPr>
          <w:rFonts w:hint="eastAsia" w:ascii="仿宋_GB2312" w:hAnsi="仿宋_GB2312" w:eastAsia="仿宋_GB2312" w:cs="仿宋_GB2312"/>
          <w:sz w:val="28"/>
          <w:szCs w:val="28"/>
        </w:rPr>
        <w:t>大竹县人民医院信息系统</w:t>
      </w:r>
      <w:r>
        <w:rPr>
          <w:rFonts w:hint="eastAsia" w:ascii="仿宋_GB2312" w:hAnsi="仿宋_GB2312" w:eastAsia="仿宋_GB2312" w:cs="仿宋_GB2312"/>
          <w:sz w:val="28"/>
          <w:szCs w:val="28"/>
          <w:lang w:val="en-US" w:eastAsia="zh-CN"/>
        </w:rPr>
        <w:t>商用</w:t>
      </w:r>
      <w:r>
        <w:rPr>
          <w:rFonts w:hint="eastAsia" w:ascii="仿宋_GB2312" w:hAnsi="仿宋_GB2312" w:eastAsia="仿宋_GB2312" w:cs="仿宋_GB2312"/>
          <w:sz w:val="28"/>
          <w:szCs w:val="28"/>
        </w:rPr>
        <w:t>密码安全性评估工作的</w:t>
      </w:r>
      <w:r>
        <w:rPr>
          <w:rFonts w:hint="eastAsia" w:ascii="仿宋" w:hAnsi="仿宋" w:eastAsia="仿宋" w:cs="仿宋"/>
          <w:sz w:val="28"/>
          <w:szCs w:val="28"/>
        </w:rPr>
        <w:t>要求完成采购人的</w:t>
      </w:r>
      <w:r>
        <w:rPr>
          <w:rFonts w:hint="eastAsia" w:ascii="仿宋" w:hAnsi="仿宋" w:eastAsia="仿宋"/>
          <w:b/>
          <w:bCs/>
          <w:sz w:val="28"/>
          <w:szCs w:val="28"/>
        </w:rPr>
        <w:t>“</w:t>
      </w:r>
      <w:r>
        <w:rPr>
          <w:rFonts w:hint="eastAsia" w:ascii="仿宋" w:hAnsi="仿宋" w:eastAsia="仿宋"/>
          <w:b/>
          <w:bCs/>
          <w:sz w:val="28"/>
          <w:szCs w:val="28"/>
          <w:lang w:val="en-US" w:eastAsia="zh-CN"/>
        </w:rPr>
        <w:t>EMR</w:t>
      </w:r>
      <w:r>
        <w:rPr>
          <w:rFonts w:hint="eastAsia" w:ascii="仿宋" w:hAnsi="仿宋" w:eastAsia="仿宋"/>
          <w:b/>
          <w:bCs/>
          <w:sz w:val="28"/>
          <w:szCs w:val="28"/>
        </w:rPr>
        <w:t>系统”密评</w:t>
      </w:r>
      <w:r>
        <w:rPr>
          <w:rFonts w:hint="eastAsia" w:ascii="仿宋" w:hAnsi="仿宋" w:eastAsia="仿宋" w:cs="仿宋"/>
          <w:sz w:val="28"/>
          <w:szCs w:val="28"/>
        </w:rPr>
        <w:t>工作，并向采购人提供合格的工作成果，包括不限于信息系统</w:t>
      </w:r>
      <w:r>
        <w:rPr>
          <w:rFonts w:hint="eastAsia" w:ascii="仿宋" w:hAnsi="仿宋" w:eastAsia="仿宋" w:cs="仿宋"/>
          <w:sz w:val="28"/>
          <w:szCs w:val="28"/>
          <w:lang w:val="en-US" w:eastAsia="zh-CN"/>
        </w:rPr>
        <w:t>商用</w:t>
      </w:r>
      <w:r>
        <w:rPr>
          <w:rFonts w:hint="eastAsia" w:ascii="仿宋" w:hAnsi="仿宋" w:eastAsia="仿宋" w:cs="仿宋"/>
          <w:sz w:val="28"/>
          <w:szCs w:val="28"/>
        </w:rPr>
        <w:t>密评备案信息表，负责提供密码应用方案，出具</w:t>
      </w:r>
      <w:r>
        <w:rPr>
          <w:rFonts w:hint="eastAsia" w:ascii="仿宋" w:hAnsi="仿宋" w:eastAsia="仿宋" w:cs="仿宋"/>
          <w:color w:val="EE0000"/>
          <w:sz w:val="28"/>
          <w:szCs w:val="28"/>
        </w:rPr>
        <w:t>密评</w:t>
      </w:r>
      <w:r>
        <w:rPr>
          <w:rFonts w:hint="eastAsia" w:ascii="仿宋" w:hAnsi="仿宋" w:eastAsia="仿宋" w:cs="仿宋"/>
          <w:sz w:val="28"/>
          <w:szCs w:val="28"/>
        </w:rPr>
        <w:t>方案和系统评估报告，并与备案信息表的扫描件在202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color w:val="EE0000"/>
          <w:sz w:val="28"/>
          <w:szCs w:val="28"/>
          <w:lang w:val="en-US" w:eastAsia="zh-CN"/>
        </w:rPr>
        <w:t>12</w:t>
      </w:r>
      <w:r>
        <w:rPr>
          <w:rFonts w:hint="eastAsia" w:ascii="仿宋" w:hAnsi="仿宋" w:eastAsia="仿宋" w:cs="仿宋"/>
          <w:sz w:val="28"/>
          <w:szCs w:val="28"/>
        </w:rPr>
        <w:t>月</w:t>
      </w:r>
      <w:r>
        <w:rPr>
          <w:rFonts w:hint="eastAsia" w:ascii="仿宋" w:hAnsi="仿宋" w:eastAsia="仿宋" w:cs="仿宋"/>
          <w:color w:val="EE0000"/>
          <w:sz w:val="28"/>
          <w:szCs w:val="28"/>
          <w:lang w:val="en-US" w:eastAsia="zh-CN"/>
        </w:rPr>
        <w:t>25</w:t>
      </w:r>
      <w:r>
        <w:rPr>
          <w:rFonts w:hint="eastAsia" w:ascii="仿宋" w:hAnsi="仿宋" w:eastAsia="仿宋" w:cs="仿宋"/>
          <w:sz w:val="28"/>
          <w:szCs w:val="28"/>
        </w:rPr>
        <w:t>日前一并报大竹县密码管理局备案。</w:t>
      </w:r>
    </w:p>
    <w:p w14:paraId="3B208082">
      <w:pPr>
        <w:pStyle w:val="12"/>
        <w:spacing w:line="560" w:lineRule="exact"/>
        <w:ind w:firstLine="562"/>
        <w:rPr>
          <w:rFonts w:hint="eastAsia" w:ascii="仿宋" w:hAnsi="仿宋" w:eastAsia="仿宋" w:cs="仿宋"/>
          <w:b/>
          <w:bCs/>
          <w:sz w:val="28"/>
          <w:szCs w:val="28"/>
        </w:rPr>
      </w:pPr>
      <w:r>
        <w:rPr>
          <w:rFonts w:hint="eastAsia" w:ascii="仿宋" w:hAnsi="仿宋" w:eastAsia="仿宋" w:cs="仿宋"/>
          <w:b/>
          <w:bCs/>
          <w:sz w:val="28"/>
          <w:szCs w:val="28"/>
        </w:rPr>
        <w:t xml:space="preserve">（一）、商用密码应用方案制定技术要求 </w:t>
      </w:r>
    </w:p>
    <w:p w14:paraId="077A2240">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方案制定依据和标准： </w:t>
      </w:r>
    </w:p>
    <w:p w14:paraId="42684510">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国家标准： </w:t>
      </w:r>
    </w:p>
    <w:p w14:paraId="3708D742">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 GB/T 20984-2022《信息安全技术 信息安全风险评估方法》 </w:t>
      </w:r>
    </w:p>
    <w:p w14:paraId="45F4F131">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2、 GB/T 39786-2021《信息安全技术 信息系统密码应用基本要求》 </w:t>
      </w:r>
    </w:p>
    <w:p w14:paraId="170AC190">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3、 GB/T 22239-2019《信息安全技术 网络安全等级保护基本要求》 </w:t>
      </w:r>
    </w:p>
    <w:p w14:paraId="490EDC80">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4、 GB/T 25070-2019《信息安全技术 网络安全等级保护设计技术要求》 </w:t>
      </w:r>
    </w:p>
    <w:p w14:paraId="1A7C82C2">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5、 GB/T 31722-2015《信息技术 安全技术 信息安全风险管理》 </w:t>
      </w:r>
    </w:p>
    <w:p w14:paraId="7473245C">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6、 GB/Z 24364-2009《信息安全技术 信息安全风险管理指南》 </w:t>
      </w:r>
    </w:p>
    <w:p w14:paraId="55E9878C">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行业标准： </w:t>
      </w:r>
    </w:p>
    <w:p w14:paraId="399E5268">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 GM/T 0052-2016 《密码设备管理 VPN 设备监察管理规范》 </w:t>
      </w:r>
    </w:p>
    <w:p w14:paraId="23360FCE">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2 、GM/T 0051-2016 《密码设备管理 对称密钥管理技术规范》 </w:t>
      </w:r>
    </w:p>
    <w:p w14:paraId="6EF9C9E2">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3 、GM/T 0050-2016 《密码设备管理 设备管理技术规范》 </w:t>
      </w:r>
    </w:p>
    <w:p w14:paraId="4F5C6C01">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4 、GM/T 0048-2016 《智能密码钥匙密码检测规范》 </w:t>
      </w:r>
    </w:p>
    <w:p w14:paraId="22F70867">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5、GM/T 0047-2016 《安全电子签章密码检测规范》 </w:t>
      </w:r>
    </w:p>
    <w:p w14:paraId="61B22183">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6、GM/T 0041-2015 《智能 IC 卡密码检测规范》 </w:t>
      </w:r>
    </w:p>
    <w:p w14:paraId="3FDC1BB6">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7、GM/T 0039-2015《密码模块安全检测要求》 </w:t>
      </w:r>
    </w:p>
    <w:p w14:paraId="32B820EF">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8、GM/T 0038-2014《证书认证密钥管理系统检测规范》 </w:t>
      </w:r>
    </w:p>
    <w:p w14:paraId="7BA0E360">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9、GM/T 0037-2014《证书认证系统检测规范》 </w:t>
      </w:r>
    </w:p>
    <w:p w14:paraId="1790BDC2">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10 、GM/T 0036-2014《采用非接触卡的门禁系统密码应用指南》 </w:t>
      </w:r>
    </w:p>
    <w:p w14:paraId="706C2F0B">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11、 GM/T 0031-2014《安全电子签章密码应用技术规范》 </w:t>
      </w:r>
    </w:p>
    <w:p w14:paraId="73366642">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12、 GM/T 0030-2014《服务器密码机技术规范》 </w:t>
      </w:r>
    </w:p>
    <w:p w14:paraId="11658378">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13、 GM/T 0029-2014《签名验签服务器技术规范》 </w:t>
      </w:r>
    </w:p>
    <w:p w14:paraId="198CA5A5">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14、GM/T 0028-2014《密码模块安全技术要求》 </w:t>
      </w:r>
    </w:p>
    <w:p w14:paraId="4A4B797A">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15 、GM/T 0027-2014《智能密码钥匙技术规范》 </w:t>
      </w:r>
    </w:p>
    <w:p w14:paraId="7F7DCD86">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16、 GM/T 0026-2014《安全认证网关产品规范》 </w:t>
      </w:r>
    </w:p>
    <w:p w14:paraId="60F54840">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17、 GM/T 0025-2014《SSL VPN 网关产品规范》 </w:t>
      </w:r>
    </w:p>
    <w:p w14:paraId="3F64F9D9">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18、 GM/T 0024-2014《SSL VPN 技术规范》 </w:t>
      </w:r>
    </w:p>
    <w:p w14:paraId="660DEE9A">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19、 GM/T 0023-2014《IPSec VPN 网关产品规范》 </w:t>
      </w:r>
    </w:p>
    <w:p w14:paraId="0CA7B26E">
      <w:pPr>
        <w:pStyle w:val="12"/>
        <w:spacing w:line="560" w:lineRule="exact"/>
        <w:ind w:firstLine="562"/>
        <w:rPr>
          <w:rFonts w:hint="eastAsia" w:ascii="仿宋" w:hAnsi="仿宋" w:eastAsia="仿宋" w:cs="仿宋"/>
          <w:sz w:val="28"/>
          <w:szCs w:val="28"/>
        </w:rPr>
      </w:pPr>
      <w:r>
        <w:rPr>
          <w:rFonts w:hint="eastAsia" w:ascii="仿宋" w:hAnsi="仿宋" w:eastAsia="仿宋" w:cs="仿宋"/>
          <w:b/>
          <w:bCs/>
          <w:sz w:val="28"/>
          <w:szCs w:val="28"/>
        </w:rPr>
        <w:t>二、方案内容技术要求：</w:t>
      </w:r>
      <w:r>
        <w:rPr>
          <w:rFonts w:hint="eastAsia" w:ascii="仿宋" w:hAnsi="仿宋" w:eastAsia="仿宋" w:cs="仿宋"/>
          <w:sz w:val="28"/>
          <w:szCs w:val="28"/>
        </w:rPr>
        <w:t xml:space="preserve"> </w:t>
      </w:r>
    </w:p>
    <w:p w14:paraId="41104F56">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通过对</w:t>
      </w:r>
      <w:r>
        <w:rPr>
          <w:rFonts w:hint="eastAsia" w:ascii="仿宋" w:hAnsi="仿宋" w:eastAsia="仿宋" w:cs="仿宋"/>
          <w:sz w:val="28"/>
          <w:szCs w:val="28"/>
          <w:lang w:val="en-US" w:eastAsia="zh-CN"/>
        </w:rPr>
        <w:t>EMR</w:t>
      </w:r>
      <w:r>
        <w:rPr>
          <w:rFonts w:hint="eastAsia" w:ascii="仿宋" w:hAnsi="仿宋" w:eastAsia="仿宋" w:cs="仿宋"/>
          <w:sz w:val="28"/>
          <w:szCs w:val="28"/>
        </w:rPr>
        <w:t xml:space="preserve">系统的现状和密码应用需求进行分析。 </w:t>
      </w:r>
    </w:p>
    <w:p w14:paraId="0AF5D1DD">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 系统基本情况分析，包括系统网络拓扑结构，承载业务应用，关键数据类型，系统软硬件构成等。 </w:t>
      </w:r>
    </w:p>
    <w:p w14:paraId="349ECE2C">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2. 密码应用需求分析，包括物理和环境安全，网络和通信安全，设备和 计算安全，应用和数据安全，密码安全管理，并根据系统密码安全风险分析提出系统密码应用需求分析清单。 </w:t>
      </w:r>
    </w:p>
    <w:p w14:paraId="79F235E5">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3. 密码设计原则遵循全面考虑、重点部署、分步实施，且具有规范性、先进性、可扩展性、完整性，综合考虑资产价值、风险等级，经济性和适度 性并重。</w:t>
      </w:r>
    </w:p>
    <w:p w14:paraId="5FEC67BC">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4. 密码应用技术方案设计，密码技术框架，详细方案设计，包括物理和 环境安全，网络和通信安全，设备和计算安全，应用和数据安全，密钥管理，密码应用部署，安全与合规性分析。 </w:t>
      </w:r>
    </w:p>
    <w:p w14:paraId="6543A992">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5. 密码安全管理设计，包括管理制度，人员管理，建设运行，密码软硬件管理。 </w:t>
      </w:r>
    </w:p>
    <w:p w14:paraId="400A5877">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6. 实施保障设计，包括实施内容，实施计划，保障措施</w:t>
      </w:r>
      <w:r>
        <w:rPr>
          <w:rFonts w:hint="eastAsia" w:ascii="仿宋" w:hAnsi="仿宋" w:eastAsia="仿宋" w:cs="仿宋"/>
          <w:sz w:val="28"/>
          <w:szCs w:val="28"/>
          <w:lang w:val="en-US" w:eastAsia="zh-CN"/>
        </w:rPr>
        <w:t>等。</w:t>
      </w:r>
    </w:p>
    <w:p w14:paraId="09A17F22">
      <w:pPr>
        <w:pStyle w:val="12"/>
        <w:spacing w:line="560" w:lineRule="exact"/>
        <w:ind w:firstLine="562"/>
        <w:rPr>
          <w:rFonts w:hint="eastAsia" w:ascii="仿宋" w:hAnsi="仿宋" w:eastAsia="仿宋" w:cs="仿宋"/>
          <w:sz w:val="28"/>
          <w:szCs w:val="28"/>
        </w:rPr>
      </w:pPr>
      <w:r>
        <w:rPr>
          <w:rFonts w:hint="eastAsia" w:ascii="仿宋" w:hAnsi="仿宋" w:eastAsia="仿宋" w:cs="仿宋"/>
          <w:b/>
          <w:bCs/>
          <w:sz w:val="28"/>
          <w:szCs w:val="28"/>
        </w:rPr>
        <w:t>（三）、商用密码测评技术要求</w:t>
      </w:r>
      <w:r>
        <w:rPr>
          <w:rFonts w:hint="eastAsia" w:ascii="仿宋" w:hAnsi="仿宋" w:eastAsia="仿宋" w:cs="仿宋"/>
          <w:sz w:val="28"/>
          <w:szCs w:val="28"/>
        </w:rPr>
        <w:t xml:space="preserve"> </w:t>
      </w:r>
    </w:p>
    <w:p w14:paraId="062EB199">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1、密码应用方案评估 </w:t>
      </w:r>
    </w:p>
    <w:p w14:paraId="06FF358C">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对大竹县人民医院</w:t>
      </w:r>
      <w:r>
        <w:rPr>
          <w:rFonts w:hint="eastAsia" w:ascii="仿宋" w:hAnsi="仿宋" w:eastAsia="仿宋" w:cs="仿宋"/>
          <w:sz w:val="28"/>
          <w:szCs w:val="28"/>
          <w:lang w:val="en-US" w:eastAsia="zh-CN"/>
        </w:rPr>
        <w:t>EMR</w:t>
      </w:r>
      <w:r>
        <w:rPr>
          <w:rFonts w:hint="eastAsia" w:ascii="仿宋" w:hAnsi="仿宋" w:eastAsia="仿宋" w:cs="仿宋"/>
          <w:sz w:val="28"/>
          <w:szCs w:val="28"/>
        </w:rPr>
        <w:t xml:space="preserve">系统密码应用方案进行方案评估，评估内容 包括形式审核、实质审核、指标评估、初步量化评估，其中形式审核的范围包括 方案内容完整性、方案内容一致性、方案文本规范性，实质审核的范围包括方案的密码应用现状、密码应用保护对象、密码应用需求及控制措施、实施保障措施。 </w:t>
      </w:r>
    </w:p>
    <w:p w14:paraId="2DAC9EF8">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2、系统密码应用安全性评估 </w:t>
      </w:r>
    </w:p>
    <w:p w14:paraId="3EA783DA">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严格按照《中华人民共和国密码法》、《商用密码管理条例》、GB/T 39786-2021《信息安全技术信息系统密码应用基本要求》、GM/T0054《信息系统密码应用基本要求》、GB/T43206-2023《信息安全技术信息系统密码应用测评要求》、《商用密码应用安全性评估测评过程指南》、《商用密码应用安全性评估测评作业指导书》、《商用密码应用安全性评估测评工作使用需求说明》和相关国家标准和密码行业标准，完成大竹县人民医院</w:t>
      </w:r>
      <w:r>
        <w:rPr>
          <w:rFonts w:hint="eastAsia" w:ascii="仿宋" w:hAnsi="仿宋" w:eastAsia="仿宋" w:cs="仿宋"/>
          <w:sz w:val="28"/>
          <w:szCs w:val="28"/>
          <w:lang w:val="en-US" w:eastAsia="zh-CN"/>
        </w:rPr>
        <w:t>EMR</w:t>
      </w:r>
      <w:r>
        <w:rPr>
          <w:rFonts w:hint="eastAsia" w:ascii="仿宋" w:hAnsi="仿宋" w:eastAsia="仿宋" w:cs="仿宋"/>
          <w:sz w:val="28"/>
          <w:szCs w:val="28"/>
        </w:rPr>
        <w:t xml:space="preserve">商用密码应用安全性评估工作并出具系统的商用密码应用安全性评估报告。 </w:t>
      </w:r>
    </w:p>
    <w:p w14:paraId="6D795D8A">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3、测评要求 </w:t>
      </w:r>
    </w:p>
    <w:p w14:paraId="3015DA7B">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被评估对象的商用密码应用安全性评估要求如下: </w:t>
      </w:r>
    </w:p>
    <w:p w14:paraId="6BE64169">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密码应用总体要求测评，密码算法合规性测评、密码技术合规性测评、密码产品合规性测评、密码服务合规性测评。 </w:t>
      </w:r>
    </w:p>
    <w:p w14:paraId="78F66A47">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密码应用技术要求测评，物理和环境安全测评、网络和通信安全测评、设备和计算安全测评、应用和数据安全测评。 </w:t>
      </w:r>
    </w:p>
    <w:p w14:paraId="4F1CECEF">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 xml:space="preserve">密钥管理测评，对密钥的生成、存储、分发、导入、导出、使用、备份、恢复、归档、销毁等环节进行管理和策略制定的全过程进行测评：密钥生成测评、密钥存储测评、密钥分发测评、密钥导入与导出测评、密钥使用测评、密钥备份与恢复测评、密钥归档测评、密钥销毁测评。 </w:t>
      </w:r>
    </w:p>
    <w:p w14:paraId="50EB0102">
      <w:pPr>
        <w:pStyle w:val="12"/>
        <w:spacing w:line="560" w:lineRule="exact"/>
        <w:ind w:firstLine="560"/>
        <w:rPr>
          <w:rFonts w:hint="eastAsia" w:ascii="仿宋" w:hAnsi="仿宋" w:eastAsia="仿宋" w:cs="仿宋"/>
          <w:b/>
          <w:sz w:val="28"/>
          <w:szCs w:val="28"/>
        </w:rPr>
      </w:pPr>
      <w:r>
        <w:rPr>
          <w:rFonts w:hint="eastAsia" w:ascii="仿宋" w:hAnsi="仿宋" w:eastAsia="仿宋" w:cs="仿宋"/>
          <w:sz w:val="28"/>
          <w:szCs w:val="28"/>
        </w:rPr>
        <w:t>安全管理测评，制度测评、人员测评、实施测评、应急测评。</w:t>
      </w:r>
    </w:p>
    <w:p w14:paraId="37295F74">
      <w:pPr>
        <w:pStyle w:val="16"/>
        <w:spacing w:line="560" w:lineRule="exact"/>
        <w:ind w:left="420" w:leftChars="200" w:firstLine="281" w:firstLineChars="100"/>
        <w:rPr>
          <w:rFonts w:hint="eastAsia" w:ascii="仿宋" w:hAnsi="仿宋" w:eastAsia="仿宋" w:cs="仿宋"/>
          <w:sz w:val="28"/>
          <w:szCs w:val="28"/>
        </w:rPr>
      </w:pPr>
      <w:r>
        <w:rPr>
          <w:rFonts w:hint="eastAsia" w:ascii="仿宋" w:hAnsi="仿宋" w:eastAsia="仿宋" w:cs="仿宋"/>
          <w:b/>
          <w:sz w:val="28"/>
          <w:szCs w:val="28"/>
        </w:rPr>
        <w:t>四、商务要求</w:t>
      </w:r>
    </w:p>
    <w:p w14:paraId="1F412EF1">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（一）项目的完成时限</w:t>
      </w:r>
    </w:p>
    <w:p w14:paraId="560ADB30">
      <w:pPr>
        <w:pStyle w:val="12"/>
        <w:spacing w:line="560" w:lineRule="exact"/>
        <w:ind w:firstLine="560"/>
        <w:rPr>
          <w:rFonts w:hint="eastAsia" w:ascii="仿宋" w:hAnsi="仿宋" w:eastAsia="仿宋" w:cs="仿宋"/>
          <w:sz w:val="28"/>
          <w:szCs w:val="28"/>
        </w:rPr>
      </w:pPr>
      <w:r>
        <w:rPr>
          <w:rFonts w:hint="eastAsia" w:ascii="仿宋" w:hAnsi="仿宋" w:eastAsia="仿宋" w:cs="仿宋"/>
          <w:sz w:val="28"/>
          <w:szCs w:val="28"/>
        </w:rPr>
        <w:t>自双方签订采购合同生效之日起，要求供应商在202</w:t>
      </w:r>
      <w:r>
        <w:rPr>
          <w:rFonts w:hint="eastAsia" w:ascii="仿宋" w:hAnsi="仿宋" w:eastAsia="仿宋" w:cs="仿宋"/>
          <w:sz w:val="28"/>
          <w:szCs w:val="28"/>
          <w:lang w:val="en-US" w:eastAsia="zh-CN"/>
        </w:rPr>
        <w:t>6</w:t>
      </w:r>
      <w:bookmarkStart w:id="4" w:name="_GoBack"/>
      <w:bookmarkEnd w:id="4"/>
      <w:r>
        <w:rPr>
          <w:rFonts w:hint="eastAsia" w:ascii="仿宋" w:hAnsi="仿宋" w:eastAsia="仿宋" w:cs="仿宋"/>
          <w:sz w:val="28"/>
          <w:szCs w:val="28"/>
        </w:rPr>
        <w:t>年</w:t>
      </w:r>
      <w:r>
        <w:rPr>
          <w:rFonts w:hint="eastAsia" w:ascii="仿宋" w:hAnsi="仿宋" w:eastAsia="仿宋" w:cs="仿宋"/>
          <w:color w:val="EE0000"/>
          <w:sz w:val="28"/>
          <w:szCs w:val="28"/>
          <w:lang w:val="en-US" w:eastAsia="zh-CN"/>
        </w:rPr>
        <w:t>12</w:t>
      </w:r>
      <w:r>
        <w:rPr>
          <w:rFonts w:hint="eastAsia" w:ascii="仿宋" w:hAnsi="仿宋" w:eastAsia="仿宋" w:cs="仿宋"/>
          <w:sz w:val="28"/>
          <w:szCs w:val="28"/>
        </w:rPr>
        <w:t>月</w:t>
      </w:r>
      <w:r>
        <w:rPr>
          <w:rFonts w:hint="eastAsia" w:ascii="仿宋" w:hAnsi="仿宋" w:eastAsia="仿宋" w:cs="仿宋"/>
          <w:color w:val="EE0000"/>
          <w:sz w:val="28"/>
          <w:szCs w:val="28"/>
          <w:lang w:val="en-US" w:eastAsia="zh-CN"/>
        </w:rPr>
        <w:t>25</w:t>
      </w:r>
      <w:r>
        <w:rPr>
          <w:rFonts w:hint="eastAsia" w:ascii="仿宋" w:hAnsi="仿宋" w:eastAsia="仿宋" w:cs="仿宋"/>
          <w:sz w:val="28"/>
          <w:szCs w:val="28"/>
        </w:rPr>
        <w:t>日前完成本项目全部内容。</w:t>
      </w:r>
    </w:p>
    <w:p w14:paraId="18391B23">
      <w:pPr>
        <w:pStyle w:val="2"/>
        <w:spacing w:line="560" w:lineRule="exact"/>
        <w:ind w:firstLine="560" w:firstLineChars="200"/>
        <w:rPr>
          <w:rFonts w:hint="eastAsia" w:ascii="仿宋" w:hAnsi="仿宋" w:eastAsia="仿宋" w:cs="仿宋"/>
          <w:sz w:val="28"/>
          <w:szCs w:val="28"/>
        </w:rPr>
      </w:pPr>
      <w:r>
        <w:rPr>
          <w:rFonts w:hint="eastAsia" w:ascii="仿宋" w:hAnsi="仿宋" w:eastAsia="仿宋" w:cs="仿宋"/>
          <w:b w:val="0"/>
          <w:bCs/>
          <w:sz w:val="28"/>
          <w:szCs w:val="28"/>
        </w:rPr>
        <w:t>（二）项目履行地点：大竹县人民医院院内指定地点。</w:t>
      </w:r>
    </w:p>
    <w:p w14:paraId="5C231834">
      <w:pPr>
        <w:pStyle w:val="1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（三）项目付款方式</w:t>
      </w:r>
    </w:p>
    <w:p w14:paraId="7E5676C7">
      <w:pPr>
        <w:pStyle w:val="1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1、采购人付款采用银行转账支付方式，采购人付款前，供应商必须出具有效的足额发票，否则采购人有权拒绝付款。</w:t>
      </w:r>
    </w:p>
    <w:p w14:paraId="3BD54049">
      <w:pPr>
        <w:pStyle w:val="13"/>
        <w:spacing w:line="560" w:lineRule="exact"/>
        <w:ind w:firstLine="560" w:firstLineChars="200"/>
        <w:rPr>
          <w:rFonts w:hint="default" w:eastAsia="仿宋"/>
          <w:lang w:val="en-US" w:eastAsia="zh-CN"/>
        </w:rPr>
      </w:pPr>
      <w:r>
        <w:rPr>
          <w:rFonts w:hint="eastAsia" w:ascii="仿宋" w:hAnsi="仿宋" w:eastAsia="仿宋" w:cs="仿宋"/>
          <w:sz w:val="28"/>
          <w:szCs w:val="28"/>
        </w:rPr>
        <w:t>2、采购人与供应商双方签订合同生效后，供应商完成全部服务内容，并向采购人交付合格的成果后，项目履约验收合格后，采购人在收到供应商有效发票后</w:t>
      </w:r>
      <w:r>
        <w:rPr>
          <w:rFonts w:hint="eastAsia" w:ascii="仿宋" w:hAnsi="仿宋" w:eastAsia="仿宋" w:cs="仿宋"/>
          <w:sz w:val="28"/>
          <w:szCs w:val="28"/>
          <w:lang w:val="en-US" w:eastAsia="zh-CN"/>
        </w:rPr>
        <w:t>9</w:t>
      </w:r>
      <w:r>
        <w:rPr>
          <w:rFonts w:hint="eastAsia" w:ascii="仿宋" w:hAnsi="仿宋" w:eastAsia="仿宋" w:cs="仿宋"/>
          <w:sz w:val="28"/>
          <w:szCs w:val="28"/>
        </w:rPr>
        <w:t>0日内，一次性转账支付供应商成交总金额。</w:t>
      </w:r>
      <w:r>
        <w:rPr>
          <w:rFonts w:hint="eastAsia" w:ascii="仿宋" w:hAnsi="仿宋" w:eastAsia="仿宋" w:cs="仿宋"/>
          <w:sz w:val="28"/>
          <w:szCs w:val="28"/>
          <w:lang w:val="en-US" w:eastAsia="zh-CN"/>
        </w:rPr>
        <w:t>一般纳税人应开具增值税发票。</w:t>
      </w:r>
    </w:p>
    <w:p w14:paraId="6B37599A">
      <w:pPr>
        <w:pStyle w:val="12"/>
        <w:spacing w:line="560" w:lineRule="exact"/>
        <w:ind w:firstLine="562"/>
        <w:rPr>
          <w:rFonts w:hint="eastAsia" w:ascii="仿宋" w:hAnsi="仿宋" w:eastAsia="仿宋" w:cs="仿宋"/>
          <w:b/>
          <w:bCs/>
          <w:sz w:val="28"/>
          <w:szCs w:val="28"/>
        </w:rPr>
      </w:pPr>
      <w:r>
        <w:rPr>
          <w:rFonts w:hint="eastAsia" w:ascii="仿宋" w:hAnsi="仿宋" w:eastAsia="仿宋" w:cs="仿宋"/>
          <w:b/>
          <w:bCs/>
          <w:sz w:val="28"/>
          <w:szCs w:val="28"/>
        </w:rPr>
        <w:t>（四）履约验收要求</w:t>
      </w:r>
    </w:p>
    <w:p w14:paraId="13956FC7">
      <w:pPr>
        <w:spacing w:line="560" w:lineRule="exact"/>
        <w:ind w:firstLine="560" w:firstLineChars="200"/>
        <w:contextualSpacing/>
        <w:jc w:val="left"/>
        <w:rPr>
          <w:rFonts w:hint="eastAsia" w:ascii="仿宋" w:hAnsi="仿宋" w:eastAsia="仿宋" w:cs="仿宋"/>
          <w:sz w:val="28"/>
          <w:szCs w:val="28"/>
        </w:rPr>
      </w:pPr>
      <w:r>
        <w:rPr>
          <w:rFonts w:hint="eastAsia" w:ascii="仿宋" w:hAnsi="仿宋" w:eastAsia="仿宋" w:cs="仿宋"/>
          <w:sz w:val="28"/>
          <w:szCs w:val="28"/>
        </w:rPr>
        <w:t>1、采购人按照</w:t>
      </w:r>
      <w:r>
        <w:rPr>
          <w:rFonts w:hint="eastAsia" w:ascii="仿宋_GB2312" w:hAnsi="仿宋_GB2312" w:eastAsia="仿宋_GB2312" w:cs="仿宋_GB2312"/>
          <w:sz w:val="28"/>
          <w:szCs w:val="28"/>
        </w:rPr>
        <w:t>达州市密码管理局文件要求及国家、行业</w:t>
      </w:r>
      <w:r>
        <w:rPr>
          <w:rFonts w:hint="eastAsia" w:ascii="仿宋" w:hAnsi="仿宋" w:eastAsia="仿宋" w:cs="仿宋"/>
          <w:sz w:val="28"/>
          <w:szCs w:val="28"/>
        </w:rPr>
        <w:t>等相关要求、双方合同的要求等组织验收。</w:t>
      </w:r>
    </w:p>
    <w:p w14:paraId="4F40F9FD">
      <w:pPr>
        <w:pStyle w:val="7"/>
        <w:spacing w:line="560" w:lineRule="exact"/>
        <w:ind w:firstLine="560" w:firstLineChars="200"/>
        <w:rPr>
          <w:rFonts w:hint="eastAsia"/>
        </w:rPr>
      </w:pPr>
      <w:r>
        <w:rPr>
          <w:rFonts w:hint="eastAsia" w:ascii="仿宋" w:hAnsi="仿宋" w:eastAsia="仿宋" w:cs="仿宋"/>
          <w:kern w:val="2"/>
          <w:sz w:val="28"/>
          <w:szCs w:val="28"/>
        </w:rPr>
        <w:t>2、供应商提供的服务不符合本文件要求的，采购人有权拒绝验收并要求供应商进行整改。供应商拒不整改的采购人有权无条件解除合同，并追究供应商相关责任。</w:t>
      </w:r>
    </w:p>
    <w:p w14:paraId="6269A686">
      <w:pPr>
        <w:spacing w:line="560" w:lineRule="exact"/>
        <w:ind w:firstLine="560" w:firstLineChars="200"/>
        <w:contextualSpacing/>
        <w:jc w:val="left"/>
        <w:rPr>
          <w:rFonts w:hint="eastAsia" w:ascii="仿宋" w:hAnsi="仿宋" w:eastAsia="仿宋" w:cs="仿宋"/>
          <w:sz w:val="28"/>
          <w:szCs w:val="28"/>
        </w:rPr>
      </w:pPr>
      <w:r>
        <w:rPr>
          <w:rFonts w:hint="eastAsia" w:ascii="仿宋" w:hAnsi="仿宋" w:eastAsia="仿宋" w:cs="仿宋"/>
          <w:sz w:val="28"/>
          <w:szCs w:val="28"/>
        </w:rPr>
        <w:t>3、履约期间，如供应商不能履行合同或采购人发现成交供应商虚假响应中标，立即取消供应商中标资格；采购人可以与排位在成交供应商之后第一位的中标候选人签订采购合同，以此类推。</w:t>
      </w:r>
    </w:p>
    <w:p w14:paraId="32B513E1">
      <w:pPr>
        <w:pStyle w:val="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（五）供应商售后服务</w:t>
      </w:r>
    </w:p>
    <w:p w14:paraId="4209F5AF">
      <w:pPr>
        <w:spacing w:line="560" w:lineRule="exact"/>
        <w:ind w:firstLine="560"/>
        <w:rPr>
          <w:rFonts w:hint="eastAsia" w:ascii="仿宋" w:hAnsi="仿宋" w:eastAsia="仿宋"/>
          <w:sz w:val="28"/>
          <w:szCs w:val="28"/>
        </w:rPr>
      </w:pPr>
      <w:r>
        <w:rPr>
          <w:rFonts w:hint="eastAsia" w:ascii="仿宋" w:hAnsi="仿宋" w:eastAsia="仿宋"/>
          <w:sz w:val="28"/>
          <w:szCs w:val="28"/>
        </w:rPr>
        <w:t>1、供应商维保服务期限：自验收合格之日起</w:t>
      </w:r>
      <w:r>
        <w:rPr>
          <w:rFonts w:ascii="仿宋" w:hAnsi="仿宋" w:eastAsia="仿宋"/>
          <w:sz w:val="28"/>
          <w:szCs w:val="28"/>
        </w:rPr>
        <w:t>1</w:t>
      </w:r>
      <w:r>
        <w:rPr>
          <w:rFonts w:hint="eastAsia" w:ascii="仿宋" w:hAnsi="仿宋" w:eastAsia="仿宋"/>
          <w:sz w:val="28"/>
          <w:szCs w:val="28"/>
        </w:rPr>
        <w:t>年。</w:t>
      </w:r>
    </w:p>
    <w:p w14:paraId="35F43DE1">
      <w:pPr>
        <w:spacing w:line="560" w:lineRule="exact"/>
        <w:ind w:firstLine="560"/>
        <w:rPr>
          <w:rFonts w:hint="eastAsia" w:ascii="仿宋" w:hAnsi="仿宋" w:eastAsia="仿宋" w:cs="仿宋"/>
          <w:sz w:val="28"/>
          <w:szCs w:val="28"/>
        </w:rPr>
      </w:pPr>
      <w:r>
        <w:rPr>
          <w:rFonts w:hint="eastAsia" w:ascii="仿宋" w:hAnsi="仿宋" w:eastAsia="仿宋"/>
          <w:sz w:val="28"/>
          <w:szCs w:val="28"/>
        </w:rPr>
        <w:t>2、供应商提供人员现场技术服务，电话咨询服务，必要时上门服务。</w:t>
      </w:r>
    </w:p>
    <w:p w14:paraId="081BE68F">
      <w:pPr>
        <w:pStyle w:val="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（六）其他要求</w:t>
      </w:r>
    </w:p>
    <w:p w14:paraId="687CFCEA">
      <w:pPr>
        <w:pStyle w:val="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供应商须遵守采购人规定的院内各项制度和要求，并在指定的区域内进行作业，供应商做好各项安全保障工作和预案，做好员工安全教育工作，确保安全，严格执行国家相关法律法规、安全规章制度，采取有效的安全措施，合同履行过程中由供应商及员工原因造成的一切安全事故、人身伤亡、经济损失均由供应商自行负责承担，其责任与采购人无关。若供应商造成采购人损失的，包括但不限于采购人本身的财产损失或人身伤害或由此而导致的采购人对任何第三方的法律责任等，供应商对此均应承担全部的赔偿责任和法律责任。</w:t>
      </w:r>
    </w:p>
    <w:p w14:paraId="794246C9">
      <w:pPr>
        <w:pStyle w:val="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供应商在未经采购人许可的情况下，应保证采购人及本项目服务内容涉及的所有相关数据、技术资料等不泄密，更不准将采购人及本项目服务内容涉及的各类信息泄露给他人，否则按照《中华人民共和国保守国家秘密法》等法律规定追究相关人员责任。</w:t>
      </w:r>
    </w:p>
    <w:p w14:paraId="1E046305">
      <w:pPr>
        <w:spacing w:line="560" w:lineRule="exact"/>
        <w:ind w:firstLine="560"/>
      </w:pPr>
      <w:r>
        <w:rPr>
          <w:rFonts w:hint="eastAsia" w:ascii="仿宋" w:hAnsi="仿宋" w:eastAsia="仿宋"/>
          <w:sz w:val="28"/>
          <w:szCs w:val="28"/>
        </w:rPr>
        <w:t>供应商需对其所有参与人员进行保密安全审查，审查结果报采购人备案，供应商所有参与人员必须严格遵守《中华人民共和国保守国家秘密法》等一系列安全保密法规、制度和规定，必须与采购人签署《保密承诺书》，接受保密教育培训。</w:t>
      </w:r>
    </w:p>
    <w:p w14:paraId="743F8E5C">
      <w:pPr>
        <w:spacing w:line="560" w:lineRule="exact"/>
        <w:ind w:firstLine="560"/>
      </w:pPr>
      <w:r>
        <w:rPr>
          <w:rFonts w:hint="eastAsia" w:ascii="仿宋" w:hAnsi="仿宋" w:eastAsia="仿宋" w:cs="仿宋"/>
          <w:sz w:val="28"/>
          <w:szCs w:val="28"/>
        </w:rPr>
        <w:t>3、保密期限：长期（包括合同履行期限届满后）。</w:t>
      </w:r>
    </w:p>
    <w:p w14:paraId="4BB02274">
      <w:pPr>
        <w:pStyle w:val="12"/>
        <w:spacing w:line="560" w:lineRule="exact"/>
        <w:ind w:firstLine="422" w:firstLineChars="150"/>
        <w:rPr>
          <w:rFonts w:hint="eastAsia" w:ascii="仿宋" w:hAnsi="仿宋" w:eastAsia="仿宋" w:cs="仿宋"/>
          <w:b/>
          <w:bCs/>
          <w:sz w:val="28"/>
          <w:szCs w:val="28"/>
        </w:rPr>
      </w:pPr>
      <w:r>
        <w:rPr>
          <w:rFonts w:hint="eastAsia" w:ascii="仿宋" w:hAnsi="仿宋" w:eastAsia="仿宋" w:cs="仿宋"/>
          <w:b/>
          <w:bCs/>
          <w:sz w:val="28"/>
          <w:szCs w:val="28"/>
        </w:rPr>
        <w:t>（七）违约责任</w:t>
      </w:r>
    </w:p>
    <w:p w14:paraId="7B29FC84">
      <w:pPr>
        <w:pStyle w:val="13"/>
        <w:spacing w:line="56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1、供应商必须严格按照国家相关法律法规和本报价文件要求及供应商提交的响应文件约定履行合同，按时全面履行本项目的各项义务，供应商不履行本项目义务或瑕疵履行本项目义务或延迟履行本项目义务或履行合同义务不符合合同约定的，则成交供应商违约。</w:t>
      </w:r>
    </w:p>
    <w:p w14:paraId="31F213F5">
      <w:pPr>
        <w:pStyle w:val="1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根据《中华人民共和国民法典》合同</w:t>
      </w:r>
      <w:r>
        <w:rPr>
          <w:rFonts w:hint="eastAsia" w:ascii="仿宋" w:hAnsi="仿宋" w:eastAsia="仿宋" w:cs="仿宋"/>
          <w:sz w:val="28"/>
          <w:szCs w:val="28"/>
          <w:lang w:val="en-US" w:eastAsia="zh-CN"/>
          <w14:textFill>
            <w14:gradFill>
              <w14:gsLst>
                <w14:gs w14:pos="51300">
                  <w14:srgbClr w14:val="FE5F4A"/>
                </w14:gs>
                <w14:gs w14:pos="0">
                  <w14:srgbClr w14:val="DF0303"/>
                </w14:gs>
                <w14:gs w14:pos="100000">
                  <w14:srgbClr w14:val="FEA06E"/>
                </w14:gs>
              </w14:gsLst>
              <w14:lin w14:ang="5400000" w14:scaled="1"/>
            </w14:gradFill>
          </w14:textFill>
        </w:rPr>
        <w:t>篇</w:t>
      </w:r>
      <w:r>
        <w:rPr>
          <w:rFonts w:hint="eastAsia" w:ascii="仿宋" w:hAnsi="仿宋" w:eastAsia="仿宋" w:cs="仿宋"/>
          <w:sz w:val="28"/>
          <w:szCs w:val="28"/>
        </w:rPr>
        <w:t>的法律规定，采购人有权解除合同，并要求成交供应商承担相应违约责任并支付相应金额的违约金。采购人有权直接从成交供应商的合同款项中扣除违约金，成交供应商因违约行为偿付的违约金不足以弥补采购人损失的，还应按采购人损失尚未弥补的部分，支付赔偿金全额赔偿采购人损失。</w:t>
      </w:r>
    </w:p>
    <w:p w14:paraId="464D9343">
      <w:pPr>
        <w:pStyle w:val="1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有下列情形之一行为视为供应商违约，采购人有权按照以下条款要求成交供应商承担违约金及违约责任：</w:t>
      </w:r>
    </w:p>
    <w:p w14:paraId="1AFF334F">
      <w:pPr>
        <w:pStyle w:val="1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（1）项目履行期限内，成交供应商明确表示或者以自己的行为表明不履行本项目合同的主要义务，则成交供应商违约，成交供应商应向采购人缴纳合同总价款20%的违约金，同时采购人有权解除合同。</w:t>
      </w:r>
    </w:p>
    <w:p w14:paraId="37390192">
      <w:pPr>
        <w:pStyle w:val="1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（2）成交供应商提供的服务根本违约，即合同的目的不能实现的，成交供应商应向采购人缴纳合同总价款20%的违约金，同时采购人有权解除合同。</w:t>
      </w:r>
    </w:p>
    <w:p w14:paraId="51DE94C0">
      <w:pPr>
        <w:pStyle w:val="1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（3）成交供应商延迟履约，即成交供应商应向采购人提供的服务未按合同约定时间达成的，采购人将扣除成交供应商合同总价款10%的违约金，供应商经采购人催告后应继续按合同约定履行合同。</w:t>
      </w:r>
    </w:p>
    <w:p w14:paraId="6F5AF53F">
      <w:pPr>
        <w:pStyle w:val="13"/>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成交供应商提供的服务瑕疵违约，与报价文件要求或采购人采购需求不符的，成交供应商应承担重作、减少价款或者报酬等违约责任。同时成交供应商每有一次违约行为，采购人将扣除成交供应商结算款项500元，供应商出现3次本款所列违约行为，成交供应商应向采购人支付合同总价款5%的违约金，同时采购人有权解除合同。经采购人同意后，供应商更正瑕疵违约行为后，可以继续按合同约定履行合同。</w:t>
      </w:r>
    </w:p>
    <w:p w14:paraId="015F7AA3">
      <w:pPr>
        <w:pStyle w:val="12"/>
        <w:spacing w:line="560" w:lineRule="exact"/>
        <w:ind w:firstLine="560"/>
        <w:rPr>
          <w:rFonts w:hint="eastAsia" w:ascii="仿宋" w:hAnsi="仿宋" w:eastAsia="仿宋" w:cs="仿宋"/>
          <w:b/>
          <w:bCs/>
          <w:sz w:val="28"/>
          <w:szCs w:val="28"/>
        </w:rPr>
      </w:pPr>
      <w:r>
        <w:rPr>
          <w:rFonts w:hint="eastAsia" w:ascii="仿宋" w:hAnsi="仿宋" w:eastAsia="仿宋" w:cs="仿宋"/>
          <w:sz w:val="28"/>
          <w:szCs w:val="28"/>
        </w:rPr>
        <w:t>3、如因成交供应商及其工作人员在项目实施过程中的疏忽、失职、过错等故意或者过失原因给采购人造成损失或侵害，包括但不限于采购人本身的财产损失或人身伤害、信息数据泄露、由此而导致的采购人对任何第三方的法律责任等，供应商对此均应承担全部的赔偿责任和法律责任。</w:t>
      </w:r>
      <w:bookmarkStart w:id="3" w:name="★4.4_违约处理"/>
      <w:bookmarkEnd w:id="3"/>
    </w:p>
    <w:p w14:paraId="59DCEF56">
      <w:pPr>
        <w:pStyle w:val="12"/>
        <w:spacing w:line="360" w:lineRule="auto"/>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F256494-91F8-46DC-A572-0100EA2580B3}"/>
  </w:font>
  <w:font w:name="黑体">
    <w:panose1 w:val="02010609060101010101"/>
    <w:charset w:val="86"/>
    <w:family w:val="auto"/>
    <w:pitch w:val="default"/>
    <w:sig w:usb0="800002BF" w:usb1="38CF7CFA" w:usb2="00000016" w:usb3="00000000" w:csb0="00040001" w:csb1="00000000"/>
    <w:embedRegular r:id="rId2" w:fontKey="{A68F839B-29F3-45DD-8204-388C34F75A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方正公文小标宋">
    <w:altName w:val="宋体"/>
    <w:panose1 w:val="00000000000000000000"/>
    <w:charset w:val="86"/>
    <w:family w:val="auto"/>
    <w:pitch w:val="default"/>
    <w:sig w:usb0="00000000" w:usb1="00000000" w:usb2="00000016" w:usb3="00000000" w:csb0="00040001" w:csb1="00000000"/>
    <w:embedRegular r:id="rId3" w:fontKey="{06F5F4AC-8337-4793-9E74-B67794930E01}"/>
  </w:font>
  <w:font w:name="仿宋">
    <w:panose1 w:val="02010609060101010101"/>
    <w:charset w:val="86"/>
    <w:family w:val="modern"/>
    <w:pitch w:val="default"/>
    <w:sig w:usb0="800002BF" w:usb1="38CF7CFA" w:usb2="00000016" w:usb3="00000000" w:csb0="00040001" w:csb1="00000000"/>
    <w:embedRegular r:id="rId4" w:fontKey="{E7F8DCCA-CD13-4E38-8D19-38FF8A29D1A7}"/>
  </w:font>
  <w:font w:name="仿宋_GB2312">
    <w:panose1 w:val="02010609030101010101"/>
    <w:charset w:val="86"/>
    <w:family w:val="modern"/>
    <w:pitch w:val="default"/>
    <w:sig w:usb0="00000001" w:usb1="080E0000" w:usb2="00000000" w:usb3="00000000" w:csb0="00040000" w:csb1="00000000"/>
    <w:embedRegular r:id="rId5" w:fontKey="{45CD74C3-4A0A-462A-BE6F-2D1D306B3FF0}"/>
  </w:font>
  <w:font w:name="WPSEMBED1">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zMTBlMjY5MTY5NTBhZjJkYTQzY2Y2YjcxYmI5YTMifQ=="/>
  </w:docVars>
  <w:rsids>
    <w:rsidRoot w:val="005115EF"/>
    <w:rsid w:val="000D167C"/>
    <w:rsid w:val="00183C3E"/>
    <w:rsid w:val="00227354"/>
    <w:rsid w:val="002525E2"/>
    <w:rsid w:val="00330E50"/>
    <w:rsid w:val="00336682"/>
    <w:rsid w:val="003634F0"/>
    <w:rsid w:val="00477196"/>
    <w:rsid w:val="005115EF"/>
    <w:rsid w:val="00761B63"/>
    <w:rsid w:val="008951BE"/>
    <w:rsid w:val="008D4210"/>
    <w:rsid w:val="00CE448F"/>
    <w:rsid w:val="00D57E43"/>
    <w:rsid w:val="00E05DD3"/>
    <w:rsid w:val="00E46C68"/>
    <w:rsid w:val="026D3223"/>
    <w:rsid w:val="094C3457"/>
    <w:rsid w:val="114047BC"/>
    <w:rsid w:val="152643F0"/>
    <w:rsid w:val="19BB0A3C"/>
    <w:rsid w:val="1ADD6614"/>
    <w:rsid w:val="206F41B2"/>
    <w:rsid w:val="22CC3419"/>
    <w:rsid w:val="29714AF7"/>
    <w:rsid w:val="2DED1CD1"/>
    <w:rsid w:val="3569521C"/>
    <w:rsid w:val="38615D33"/>
    <w:rsid w:val="45FE0930"/>
    <w:rsid w:val="463B2E55"/>
    <w:rsid w:val="4B126583"/>
    <w:rsid w:val="4B9409A4"/>
    <w:rsid w:val="54FA5041"/>
    <w:rsid w:val="599D70BF"/>
    <w:rsid w:val="5F406A71"/>
    <w:rsid w:val="65B37D3B"/>
    <w:rsid w:val="68711F51"/>
    <w:rsid w:val="6D29033A"/>
    <w:rsid w:val="79D86577"/>
    <w:rsid w:val="7E10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spacing w:line="360" w:lineRule="auto"/>
      <w:ind w:right="25" w:rightChars="12" w:firstLine="487" w:firstLineChars="202"/>
    </w:pPr>
    <w:rPr>
      <w:rFonts w:ascii="宋体" w:hAnsi="宋体"/>
      <w:b/>
      <w:kern w:val="0"/>
      <w:sz w:val="24"/>
    </w:rPr>
  </w:style>
  <w:style w:type="paragraph" w:styleId="3">
    <w:name w:val="Body Text"/>
    <w:basedOn w:val="1"/>
    <w:next w:val="1"/>
    <w:qFormat/>
    <w:uiPriority w:val="0"/>
    <w:pPr>
      <w:spacing w:after="120"/>
    </w:pPr>
    <w:rPr>
      <w:rFonts w:ascii="Times New Roman" w:hAnsi="Times New Roman" w:eastAsia="宋体" w:cs="Times New Roman"/>
    </w:rPr>
  </w:style>
  <w:style w:type="paragraph" w:styleId="4">
    <w:name w:val="footer"/>
    <w:basedOn w:val="1"/>
    <w:qFormat/>
    <w:uiPriority w:val="99"/>
    <w:pPr>
      <w:tabs>
        <w:tab w:val="center" w:pos="4153"/>
        <w:tab w:val="right" w:pos="8306"/>
      </w:tabs>
      <w:snapToGrid w:val="0"/>
      <w:jc w:val="left"/>
    </w:pPr>
    <w:rPr>
      <w:sz w:val="18"/>
    </w:rPr>
  </w:style>
  <w:style w:type="paragraph" w:styleId="5">
    <w:name w:val="header"/>
    <w:basedOn w:val="1"/>
    <w:link w:val="18"/>
    <w:qFormat/>
    <w:uiPriority w:val="0"/>
    <w:pPr>
      <w:tabs>
        <w:tab w:val="center" w:pos="4153"/>
        <w:tab w:val="right" w:pos="8306"/>
      </w:tabs>
      <w:snapToGrid w:val="0"/>
      <w:jc w:val="center"/>
    </w:pPr>
    <w:rPr>
      <w:sz w:val="18"/>
      <w:szCs w:val="18"/>
    </w:rPr>
  </w:style>
  <w:style w:type="paragraph" w:styleId="6">
    <w:name w:val="Subtitle"/>
    <w:basedOn w:val="1"/>
    <w:next w:val="1"/>
    <w:qFormat/>
    <w:uiPriority w:val="0"/>
    <w:pPr>
      <w:spacing w:before="240" w:after="60" w:line="312" w:lineRule="auto"/>
      <w:jc w:val="center"/>
      <w:outlineLvl w:val="1"/>
    </w:pPr>
    <w:rPr>
      <w:rFonts w:ascii="Cambria" w:hAnsi="Cambria" w:eastAsia="宋体" w:cs="Times New Roman"/>
      <w:b/>
      <w:bCs/>
      <w:color w:val="000000"/>
      <w:kern w:val="28"/>
      <w:sz w:val="32"/>
      <w:szCs w:val="32"/>
    </w:rPr>
  </w:style>
  <w:style w:type="paragraph" w:styleId="7">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10">
    <w:name w:val="Table Text"/>
    <w:basedOn w:val="1"/>
    <w:semiHidden/>
    <w:qFormat/>
    <w:uiPriority w:val="0"/>
    <w:rPr>
      <w:rFonts w:ascii="微软雅黑" w:hAnsi="微软雅黑" w:eastAsia="微软雅黑" w:cs="微软雅黑"/>
      <w:sz w:val="28"/>
      <w:szCs w:val="28"/>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styleId="12">
    <w:name w:val="List Paragraph"/>
    <w:basedOn w:val="1"/>
    <w:qFormat/>
    <w:uiPriority w:val="0"/>
    <w:pPr>
      <w:ind w:firstLine="420" w:firstLineChars="200"/>
    </w:pPr>
  </w:style>
  <w:style w:type="paragraph" w:customStyle="1" w:styleId="13">
    <w:name w:val="正文_1"/>
    <w:qFormat/>
    <w:uiPriority w:val="0"/>
    <w:pPr>
      <w:widowControl w:val="0"/>
      <w:spacing w:line="480" w:lineRule="exact"/>
      <w:jc w:val="both"/>
    </w:pPr>
    <w:rPr>
      <w:rFonts w:ascii="Times New Roman" w:hAnsi="Times New Roman" w:eastAsia="宋体" w:cs="Times New Roman"/>
      <w:kern w:val="2"/>
      <w:sz w:val="21"/>
      <w:szCs w:val="24"/>
      <w:lang w:val="en-US" w:eastAsia="zh-CN" w:bidi="ar-SA"/>
    </w:rPr>
  </w:style>
  <w:style w:type="paragraph" w:customStyle="1" w:styleId="14">
    <w:name w:val="正文文本_0"/>
    <w:basedOn w:val="15"/>
    <w:next w:val="13"/>
    <w:autoRedefine/>
    <w:qFormat/>
    <w:uiPriority w:val="0"/>
    <w:pPr>
      <w:spacing w:after="120"/>
    </w:pPr>
  </w:style>
  <w:style w:type="paragraph" w:customStyle="1" w:styleId="15">
    <w:name w:val="正文_1_0"/>
    <w:next w:val="14"/>
    <w:autoRedefine/>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6">
    <w:name w:val="正文文本_1"/>
    <w:basedOn w:val="17"/>
    <w:next w:val="17"/>
    <w:unhideWhenUsed/>
    <w:qFormat/>
    <w:uiPriority w:val="99"/>
    <w:pPr>
      <w:spacing w:after="120"/>
    </w:pPr>
    <w:rPr>
      <w:rFonts w:ascii="Times New Roman" w:hAnsi="Times New Roman"/>
      <w:kern w:val="0"/>
      <w:sz w:val="20"/>
      <w:szCs w:val="20"/>
    </w:rPr>
  </w:style>
  <w:style w:type="paragraph" w:customStyle="1" w:styleId="17">
    <w:name w:val="正文_3"/>
    <w:qFormat/>
    <w:uiPriority w:val="0"/>
    <w:pPr>
      <w:widowControl w:val="0"/>
      <w:jc w:val="both"/>
    </w:pPr>
    <w:rPr>
      <w:rFonts w:ascii="Calibri" w:hAnsi="Calibri" w:eastAsia="宋体" w:cs="Times New Roman"/>
      <w:kern w:val="2"/>
      <w:sz w:val="21"/>
      <w:szCs w:val="22"/>
      <w:lang w:val="en-US" w:eastAsia="zh-CN" w:bidi="ar-SA"/>
    </w:rPr>
  </w:style>
  <w:style w:type="character" w:customStyle="1" w:styleId="18">
    <w:name w:val="页眉 字符"/>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8</Pages>
  <Words>3895</Words>
  <Characters>4263</Characters>
  <Lines>93</Lines>
  <Paragraphs>89</Paragraphs>
  <TotalTime>11</TotalTime>
  <ScaleCrop>false</ScaleCrop>
  <LinksUpToDate>false</LinksUpToDate>
  <CharactersWithSpaces>4391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2024-10-21T01:21:00Z</dcterms:created>
  <dc:creator>Administrator</dc:creator>
  <cp:lastModifiedBy>刘媛琳</cp:lastModifiedBy>
  <cp:lastPrinted>2026-07-24T02:03:06Z</cp:lastPrinted>
  <dcterms:modified xsi:type="dcterms:W3CDTF">2026-07-24T02:53:17Z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5ABA832857F64B298058C04083BDAF37_12</vt:lpwstr>
  </property>
  <property fmtid="{D5CDD505-2E9C-101B-9397-08002B2CF9AE}" pid="4" name="KSOTemplateDocerSaveRecord">
    <vt:lpwstr>eyJoZGlkIjoiNmQxNzBjMzA5MWQ5MWIwZmNmMzk0M2ZiYjQyNTI2MjIifQ==</vt:lpwstr>
  </property>
</Properties>
</file>