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BC76">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2026年信息设备维修服务采购项目采购需求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bookmarkStart w:id="1" w:name="_GoBack"/>
      <w:bookmarkEnd w:id="1"/>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FF0000"/>
          <w:sz w:val="28"/>
          <w:szCs w:val="28"/>
          <w:lang w:val="en-US" w:eastAsia="zh-CN"/>
        </w:rPr>
        <w:t>本项目所涉及的信息设备主要包含PC机、显示器、单功能打印机设备，不含集成扫描、复印、打印功能的一体机。采购人目前在用单功能打印机700多台，PC机1000余台，显示器1000余台，拟将此部分信息设备维修及配件更换服务进行外包，以保障采购人信息设备的正常使用</w:t>
      </w:r>
      <w:r>
        <w:rPr>
          <w:rFonts w:hint="eastAsia" w:ascii="仿宋" w:hAnsi="仿宋" w:eastAsia="仿宋" w:cs="仿宋"/>
          <w:color w:val="FF0000"/>
          <w:sz w:val="28"/>
          <w:szCs w:val="28"/>
          <w:highlight w:val="none"/>
          <w:lang w:val="en-US" w:eastAsia="zh-CN"/>
        </w:rPr>
        <w:t>。</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EBA0B39">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21万元。</w:t>
      </w:r>
    </w:p>
    <w:tbl>
      <w:tblPr>
        <w:tblStyle w:val="4"/>
        <w:tblpPr w:leftFromText="180" w:rightFromText="180" w:vertAnchor="text" w:horzAnchor="page" w:tblpX="1463" w:tblpY="619"/>
        <w:tblOverlap w:val="never"/>
        <w:tblW w:w="9585" w:type="dxa"/>
        <w:tblInd w:w="0" w:type="dxa"/>
        <w:tblLayout w:type="autofit"/>
        <w:tblCellMar>
          <w:top w:w="0" w:type="dxa"/>
          <w:left w:w="108" w:type="dxa"/>
          <w:bottom w:w="0" w:type="dxa"/>
          <w:right w:w="108" w:type="dxa"/>
        </w:tblCellMar>
      </w:tblPr>
      <w:tblGrid>
        <w:gridCol w:w="953"/>
        <w:gridCol w:w="1372"/>
        <w:gridCol w:w="6045"/>
        <w:gridCol w:w="1215"/>
      </w:tblGrid>
      <w:tr w14:paraId="5BC125BC">
        <w:tblPrEx>
          <w:tblCellMar>
            <w:top w:w="0" w:type="dxa"/>
            <w:left w:w="108" w:type="dxa"/>
            <w:bottom w:w="0" w:type="dxa"/>
            <w:right w:w="108" w:type="dxa"/>
          </w:tblCellMar>
        </w:tblPrEx>
        <w:trPr>
          <w:trHeight w:val="532"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77C3E">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分类</w:t>
            </w:r>
          </w:p>
        </w:tc>
        <w:tc>
          <w:tcPr>
            <w:tcW w:w="1372" w:type="dxa"/>
            <w:tcBorders>
              <w:top w:val="single" w:color="auto" w:sz="4" w:space="0"/>
              <w:left w:val="nil"/>
              <w:bottom w:val="single" w:color="auto" w:sz="4" w:space="0"/>
              <w:right w:val="single" w:color="auto" w:sz="4" w:space="0"/>
            </w:tcBorders>
            <w:shd w:val="clear" w:color="auto" w:fill="auto"/>
            <w:vAlign w:val="center"/>
          </w:tcPr>
          <w:p w14:paraId="174ECF7F">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品名</w:t>
            </w:r>
          </w:p>
        </w:tc>
        <w:tc>
          <w:tcPr>
            <w:tcW w:w="6045" w:type="dxa"/>
            <w:tcBorders>
              <w:top w:val="single" w:color="auto" w:sz="4" w:space="0"/>
              <w:left w:val="nil"/>
              <w:bottom w:val="single" w:color="auto" w:sz="4" w:space="0"/>
              <w:right w:val="single" w:color="auto" w:sz="4" w:space="0"/>
            </w:tcBorders>
            <w:shd w:val="clear" w:color="auto" w:fill="auto"/>
            <w:vAlign w:val="center"/>
          </w:tcPr>
          <w:p w14:paraId="46790156">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参数要求</w:t>
            </w:r>
          </w:p>
        </w:tc>
        <w:tc>
          <w:tcPr>
            <w:tcW w:w="1215" w:type="dxa"/>
            <w:tcBorders>
              <w:top w:val="single" w:color="auto" w:sz="4" w:space="0"/>
              <w:left w:val="nil"/>
              <w:bottom w:val="single" w:color="auto" w:sz="4" w:space="0"/>
              <w:right w:val="single" w:color="auto" w:sz="4" w:space="0"/>
            </w:tcBorders>
            <w:shd w:val="clear" w:color="auto" w:fill="auto"/>
            <w:vAlign w:val="center"/>
          </w:tcPr>
          <w:p w14:paraId="18A0125B">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单价/</w:t>
            </w:r>
          </w:p>
          <w:p w14:paraId="59ABDC31">
            <w:pPr>
              <w:widowControl/>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最高限价</w:t>
            </w:r>
          </w:p>
        </w:tc>
      </w:tr>
      <w:tr w14:paraId="19764BA5">
        <w:tblPrEx>
          <w:tblCellMar>
            <w:top w:w="0" w:type="dxa"/>
            <w:left w:w="108" w:type="dxa"/>
            <w:bottom w:w="0" w:type="dxa"/>
            <w:right w:w="108" w:type="dxa"/>
          </w:tblCellMar>
        </w:tblPrEx>
        <w:trPr>
          <w:trHeight w:val="5400"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0E7CE9C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台式机</w:t>
            </w:r>
          </w:p>
        </w:tc>
        <w:tc>
          <w:tcPr>
            <w:tcW w:w="1372" w:type="dxa"/>
            <w:tcBorders>
              <w:top w:val="nil"/>
              <w:left w:val="nil"/>
              <w:bottom w:val="single" w:color="auto" w:sz="4" w:space="0"/>
              <w:right w:val="single" w:color="auto" w:sz="4" w:space="0"/>
            </w:tcBorders>
            <w:shd w:val="clear" w:color="auto" w:fill="auto"/>
            <w:vAlign w:val="center"/>
          </w:tcPr>
          <w:p w14:paraId="4CD01E0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CPU：I3-12100散片</w:t>
            </w:r>
          </w:p>
        </w:tc>
        <w:tc>
          <w:tcPr>
            <w:tcW w:w="6045" w:type="dxa"/>
            <w:tcBorders>
              <w:top w:val="nil"/>
              <w:left w:val="nil"/>
              <w:bottom w:val="single" w:color="auto" w:sz="4" w:space="0"/>
              <w:right w:val="single" w:color="auto" w:sz="4" w:space="0"/>
            </w:tcBorders>
            <w:shd w:val="clear" w:color="auto" w:fill="auto"/>
            <w:vAlign w:val="center"/>
          </w:tcPr>
          <w:p w14:paraId="134B25DC">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CPU制作工艺：10纳米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CPU型号：酷睿i3 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代，64位处理器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CPU频率：3.3—4.3GHz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核心/线程：四核心/八线程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核心类型：Comet Lake</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三级缓存：12MB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支持内存频率：DDR4 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支持最大内存通道数：2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最大内存带宽：76.8GB/s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显卡参数：集成英特尔 超核芯显卡730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显卡基本频率：300MHz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显卡最大动态频率：1.40GHz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显卡视频最大内存：64GB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OpenGL支持：4.5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DirectX支持：12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插槽类型：LGA 1700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TDP</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热功耗设计）：60W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支持睿频加速技术，支持超线程技术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含适配CPU散热器</w:t>
            </w:r>
          </w:p>
        </w:tc>
        <w:tc>
          <w:tcPr>
            <w:tcW w:w="1215" w:type="dxa"/>
            <w:tcBorders>
              <w:top w:val="nil"/>
              <w:left w:val="nil"/>
              <w:bottom w:val="single" w:color="auto" w:sz="4" w:space="0"/>
              <w:right w:val="single" w:color="auto" w:sz="4" w:space="0"/>
            </w:tcBorders>
            <w:shd w:val="clear" w:color="auto" w:fill="auto"/>
            <w:vAlign w:val="center"/>
          </w:tcPr>
          <w:p w14:paraId="053F93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w:t>
            </w:r>
          </w:p>
        </w:tc>
      </w:tr>
      <w:tr w14:paraId="7C375E2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B555619">
            <w:pPr>
              <w:widowControl/>
              <w:jc w:val="left"/>
              <w:rPr>
                <w:rFonts w:hint="eastAsia" w:ascii="宋体" w:hAnsi="宋体" w:eastAsia="宋体" w:cs="宋体"/>
                <w:color w:val="auto"/>
                <w:sz w:val="21"/>
                <w:szCs w:val="21"/>
              </w:rPr>
            </w:pPr>
          </w:p>
        </w:tc>
        <w:tc>
          <w:tcPr>
            <w:tcW w:w="1372" w:type="dxa"/>
            <w:tcBorders>
              <w:top w:val="single" w:color="auto" w:sz="4" w:space="0"/>
              <w:left w:val="nil"/>
              <w:bottom w:val="single" w:color="auto" w:sz="4" w:space="0"/>
              <w:right w:val="single" w:color="auto" w:sz="4" w:space="0"/>
            </w:tcBorders>
            <w:shd w:val="clear" w:color="auto" w:fill="auto"/>
            <w:vAlign w:val="center"/>
          </w:tcPr>
          <w:p w14:paraId="49836FA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CPU风扇</w:t>
            </w:r>
          </w:p>
        </w:tc>
        <w:tc>
          <w:tcPr>
            <w:tcW w:w="6045" w:type="dxa"/>
            <w:tcBorders>
              <w:top w:val="single" w:color="auto" w:sz="4" w:space="0"/>
              <w:left w:val="nil"/>
              <w:bottom w:val="single" w:color="auto" w:sz="4" w:space="0"/>
              <w:right w:val="single" w:color="auto" w:sz="4" w:space="0"/>
            </w:tcBorders>
            <w:shd w:val="clear" w:color="auto" w:fill="auto"/>
            <w:vAlign w:val="center"/>
          </w:tcPr>
          <w:p w14:paraId="7C6CE19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适配上述CPU的风扇</w:t>
            </w:r>
          </w:p>
        </w:tc>
        <w:tc>
          <w:tcPr>
            <w:tcW w:w="1215" w:type="dxa"/>
            <w:tcBorders>
              <w:top w:val="single" w:color="auto" w:sz="4" w:space="0"/>
              <w:left w:val="nil"/>
              <w:bottom w:val="single" w:color="auto" w:sz="4" w:space="0"/>
              <w:right w:val="single" w:color="auto" w:sz="4" w:space="0"/>
            </w:tcBorders>
            <w:shd w:val="clear" w:color="auto" w:fill="auto"/>
            <w:vAlign w:val="center"/>
          </w:tcPr>
          <w:p w14:paraId="6C88E2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r>
      <w:tr w14:paraId="59549827">
        <w:tblPrEx>
          <w:tblCellMar>
            <w:top w:w="0" w:type="dxa"/>
            <w:left w:w="108" w:type="dxa"/>
            <w:bottom w:w="0" w:type="dxa"/>
            <w:right w:w="108" w:type="dxa"/>
          </w:tblCellMar>
        </w:tblPrEx>
        <w:trPr>
          <w:trHeight w:val="2430" w:hRule="atLeast"/>
        </w:trPr>
        <w:tc>
          <w:tcPr>
            <w:tcW w:w="953" w:type="dxa"/>
            <w:vMerge w:val="continue"/>
            <w:tcBorders>
              <w:top w:val="nil"/>
              <w:left w:val="single" w:color="auto" w:sz="4" w:space="0"/>
              <w:bottom w:val="single" w:color="auto" w:sz="4" w:space="0"/>
              <w:right w:val="single" w:color="auto" w:sz="4" w:space="0"/>
            </w:tcBorders>
            <w:vAlign w:val="center"/>
          </w:tcPr>
          <w:p w14:paraId="501FA51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7D5334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 板：H610</w:t>
            </w:r>
          </w:p>
        </w:tc>
        <w:tc>
          <w:tcPr>
            <w:tcW w:w="6045" w:type="dxa"/>
            <w:tcBorders>
              <w:top w:val="nil"/>
              <w:left w:val="nil"/>
              <w:bottom w:val="single" w:color="auto" w:sz="4" w:space="0"/>
              <w:right w:val="single" w:color="auto" w:sz="4" w:space="0"/>
            </w:tcBorders>
            <w:shd w:val="clear" w:color="auto" w:fill="auto"/>
            <w:vAlign w:val="center"/>
          </w:tcPr>
          <w:p w14:paraId="5C5EDB1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主板芯片组：Intel H610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支持Intel第十二代处理器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CPU插槽：LGA1700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内存支持：双通道2×DDR4 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网卡芯片：板载千兆网卡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USB接口：4个USB2.0,2个USB3.0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扩展插针：1组USB2.0,1组USB3.0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音频接口：5.1声道音频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视频接口：VGA+HDMI</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电源接口：24针+8针</w:t>
            </w:r>
          </w:p>
        </w:tc>
        <w:tc>
          <w:tcPr>
            <w:tcW w:w="1215" w:type="dxa"/>
            <w:tcBorders>
              <w:top w:val="nil"/>
              <w:left w:val="nil"/>
              <w:bottom w:val="single" w:color="auto" w:sz="4" w:space="0"/>
              <w:right w:val="single" w:color="auto" w:sz="4" w:space="0"/>
            </w:tcBorders>
            <w:shd w:val="clear" w:color="auto" w:fill="auto"/>
            <w:vAlign w:val="center"/>
          </w:tcPr>
          <w:p w14:paraId="4ABCF6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w:t>
            </w:r>
          </w:p>
        </w:tc>
      </w:tr>
      <w:tr w14:paraId="2978AE61">
        <w:tblPrEx>
          <w:tblCellMar>
            <w:top w:w="0" w:type="dxa"/>
            <w:left w:w="108" w:type="dxa"/>
            <w:bottom w:w="0" w:type="dxa"/>
            <w:right w:w="108" w:type="dxa"/>
          </w:tblCellMar>
        </w:tblPrEx>
        <w:trPr>
          <w:trHeight w:val="2370" w:hRule="atLeast"/>
        </w:trPr>
        <w:tc>
          <w:tcPr>
            <w:tcW w:w="953" w:type="dxa"/>
            <w:vMerge w:val="continue"/>
            <w:tcBorders>
              <w:top w:val="nil"/>
              <w:left w:val="single" w:color="auto" w:sz="4" w:space="0"/>
              <w:bottom w:val="single" w:color="auto" w:sz="4" w:space="0"/>
              <w:right w:val="single" w:color="auto" w:sz="4" w:space="0"/>
            </w:tcBorders>
            <w:vAlign w:val="center"/>
          </w:tcPr>
          <w:p w14:paraId="449D82D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E1CE98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内 存：8G 3200</w:t>
            </w:r>
          </w:p>
        </w:tc>
        <w:tc>
          <w:tcPr>
            <w:tcW w:w="6045" w:type="dxa"/>
            <w:tcBorders>
              <w:top w:val="nil"/>
              <w:left w:val="nil"/>
              <w:bottom w:val="single" w:color="auto" w:sz="4" w:space="0"/>
              <w:right w:val="single" w:color="auto" w:sz="4" w:space="0"/>
            </w:tcBorders>
            <w:shd w:val="clear" w:color="auto" w:fill="auto"/>
            <w:vAlign w:val="center"/>
          </w:tcPr>
          <w:p w14:paraId="0589537B">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容量描述：单条8GB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内存类型：DDR4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内存主频：3200MHz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针脚数：288pin</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CL延迟： 16</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工作电压：1.2V</w:t>
            </w:r>
          </w:p>
        </w:tc>
        <w:tc>
          <w:tcPr>
            <w:tcW w:w="1215" w:type="dxa"/>
            <w:tcBorders>
              <w:top w:val="nil"/>
              <w:left w:val="nil"/>
              <w:bottom w:val="single" w:color="auto" w:sz="4" w:space="0"/>
              <w:right w:val="single" w:color="auto" w:sz="4" w:space="0"/>
            </w:tcBorders>
            <w:shd w:val="clear" w:color="auto" w:fill="auto"/>
            <w:vAlign w:val="center"/>
          </w:tcPr>
          <w:p w14:paraId="4A89A77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480</w:t>
            </w:r>
          </w:p>
        </w:tc>
      </w:tr>
      <w:tr w14:paraId="59C1BC19">
        <w:tblPrEx>
          <w:tblCellMar>
            <w:top w:w="0" w:type="dxa"/>
            <w:left w:w="108" w:type="dxa"/>
            <w:bottom w:w="0" w:type="dxa"/>
            <w:right w:w="108" w:type="dxa"/>
          </w:tblCellMar>
        </w:tblPrEx>
        <w:trPr>
          <w:trHeight w:val="2475" w:hRule="atLeast"/>
        </w:trPr>
        <w:tc>
          <w:tcPr>
            <w:tcW w:w="953" w:type="dxa"/>
            <w:vMerge w:val="continue"/>
            <w:tcBorders>
              <w:top w:val="nil"/>
              <w:left w:val="single" w:color="auto" w:sz="4" w:space="0"/>
              <w:bottom w:val="single" w:color="auto" w:sz="4" w:space="0"/>
              <w:right w:val="single" w:color="auto" w:sz="4" w:space="0"/>
            </w:tcBorders>
            <w:vAlign w:val="center"/>
          </w:tcPr>
          <w:p w14:paraId="601378C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B74175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内 存：16G 3200</w:t>
            </w:r>
          </w:p>
        </w:tc>
        <w:tc>
          <w:tcPr>
            <w:tcW w:w="6045" w:type="dxa"/>
            <w:tcBorders>
              <w:top w:val="nil"/>
              <w:left w:val="nil"/>
              <w:bottom w:val="single" w:color="auto" w:sz="4" w:space="0"/>
              <w:right w:val="single" w:color="auto" w:sz="4" w:space="0"/>
            </w:tcBorders>
            <w:shd w:val="clear" w:color="auto" w:fill="auto"/>
            <w:vAlign w:val="center"/>
          </w:tcPr>
          <w:p w14:paraId="07502695">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容量描述：单条16GB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内存类型：DDR4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内存主频：3200MHz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针脚数：288pin</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CL延迟： 16</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工作电压：1.2V</w:t>
            </w:r>
          </w:p>
        </w:tc>
        <w:tc>
          <w:tcPr>
            <w:tcW w:w="1215" w:type="dxa"/>
            <w:tcBorders>
              <w:top w:val="nil"/>
              <w:left w:val="nil"/>
              <w:bottom w:val="single" w:color="auto" w:sz="4" w:space="0"/>
              <w:right w:val="single" w:color="auto" w:sz="4" w:space="0"/>
            </w:tcBorders>
            <w:shd w:val="clear" w:color="auto" w:fill="auto"/>
            <w:vAlign w:val="center"/>
          </w:tcPr>
          <w:p w14:paraId="217D36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w:t>
            </w:r>
          </w:p>
        </w:tc>
      </w:tr>
      <w:tr w14:paraId="76854DB8">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5E373B8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C1D540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固态硬盘：240G</w:t>
            </w:r>
          </w:p>
        </w:tc>
        <w:tc>
          <w:tcPr>
            <w:tcW w:w="6045" w:type="dxa"/>
            <w:tcBorders>
              <w:top w:val="nil"/>
              <w:left w:val="nil"/>
              <w:bottom w:val="single" w:color="auto" w:sz="4" w:space="0"/>
              <w:right w:val="single" w:color="auto" w:sz="4" w:space="0"/>
            </w:tcBorders>
            <w:shd w:val="clear" w:color="auto" w:fill="auto"/>
            <w:vAlign w:val="center"/>
          </w:tcPr>
          <w:p w14:paraId="147B314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存储容量：240GB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适用类型：台式机硬盘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接口类型：SATA REV3.0（6Gbps）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外形尺寸：2.5英寸</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闪存架构：TLC三层单元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读取速度：520MB/s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写入速度：450MB/s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其他参数：支持TRIM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TBW：120TBW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工作温度：0-70℃</w:t>
            </w:r>
          </w:p>
        </w:tc>
        <w:tc>
          <w:tcPr>
            <w:tcW w:w="1215" w:type="dxa"/>
            <w:tcBorders>
              <w:top w:val="nil"/>
              <w:left w:val="nil"/>
              <w:bottom w:val="single" w:color="auto" w:sz="4" w:space="0"/>
              <w:right w:val="single" w:color="auto" w:sz="4" w:space="0"/>
            </w:tcBorders>
            <w:shd w:val="clear" w:color="auto" w:fill="auto"/>
            <w:vAlign w:val="center"/>
          </w:tcPr>
          <w:p w14:paraId="4E8301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w:t>
            </w:r>
          </w:p>
        </w:tc>
      </w:tr>
      <w:tr w14:paraId="1CBC0234">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58A4ABD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D407E7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机械硬盘：1TB</w:t>
            </w:r>
          </w:p>
        </w:tc>
        <w:tc>
          <w:tcPr>
            <w:tcW w:w="6045" w:type="dxa"/>
            <w:tcBorders>
              <w:top w:val="nil"/>
              <w:left w:val="nil"/>
              <w:bottom w:val="single" w:color="auto" w:sz="4" w:space="0"/>
              <w:right w:val="single" w:color="auto" w:sz="4" w:space="0"/>
            </w:tcBorders>
            <w:shd w:val="clear" w:color="auto" w:fill="auto"/>
            <w:vAlign w:val="center"/>
          </w:tcPr>
          <w:p w14:paraId="76FE396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存储容量：1000GB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适用类型：台式机硬盘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外形尺寸：3.5 英寸</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接口类型：SATA 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接口速率：6Gb/s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盘片数量：1片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转速：7200rpm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缓存：64MB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接口传输速率：150MB/s</w:t>
            </w:r>
          </w:p>
        </w:tc>
        <w:tc>
          <w:tcPr>
            <w:tcW w:w="1215" w:type="dxa"/>
            <w:tcBorders>
              <w:top w:val="nil"/>
              <w:left w:val="nil"/>
              <w:bottom w:val="single" w:color="auto" w:sz="4" w:space="0"/>
              <w:right w:val="single" w:color="auto" w:sz="4" w:space="0"/>
            </w:tcBorders>
            <w:shd w:val="clear" w:color="auto" w:fill="auto"/>
            <w:vAlign w:val="center"/>
          </w:tcPr>
          <w:p w14:paraId="2132952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w:t>
            </w:r>
          </w:p>
        </w:tc>
      </w:tr>
      <w:tr w14:paraId="688F741B">
        <w:tblPrEx>
          <w:tblCellMar>
            <w:top w:w="0" w:type="dxa"/>
            <w:left w:w="108" w:type="dxa"/>
            <w:bottom w:w="0" w:type="dxa"/>
            <w:right w:w="108" w:type="dxa"/>
          </w:tblCellMar>
        </w:tblPrEx>
        <w:trPr>
          <w:trHeight w:val="1980" w:hRule="atLeast"/>
        </w:trPr>
        <w:tc>
          <w:tcPr>
            <w:tcW w:w="953" w:type="dxa"/>
            <w:vMerge w:val="continue"/>
            <w:tcBorders>
              <w:top w:val="nil"/>
              <w:left w:val="single" w:color="auto" w:sz="4" w:space="0"/>
              <w:bottom w:val="single" w:color="auto" w:sz="4" w:space="0"/>
              <w:right w:val="single" w:color="auto" w:sz="4" w:space="0"/>
            </w:tcBorders>
            <w:vAlign w:val="center"/>
          </w:tcPr>
          <w:p w14:paraId="7F131D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F74BD5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台式机电源</w:t>
            </w:r>
          </w:p>
        </w:tc>
        <w:tc>
          <w:tcPr>
            <w:tcW w:w="6045" w:type="dxa"/>
            <w:tcBorders>
              <w:top w:val="nil"/>
              <w:left w:val="nil"/>
              <w:bottom w:val="single" w:color="auto" w:sz="4" w:space="0"/>
              <w:right w:val="single" w:color="auto" w:sz="4" w:space="0"/>
            </w:tcBorders>
            <w:shd w:val="clear" w:color="auto" w:fill="auto"/>
            <w:vAlign w:val="center"/>
          </w:tcPr>
          <w:p w14:paraId="45D144E1">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额定功率：180W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电源版本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ATX 12V 2.3</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主板接口：适应主板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电源接口：CPU接口*1、显卡接口*2、硬盘接口*2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电源尺寸：适应台式机内部结构</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电源性能：交流输入220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240V,50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60Hz</w:t>
            </w:r>
          </w:p>
        </w:tc>
        <w:tc>
          <w:tcPr>
            <w:tcW w:w="1215" w:type="dxa"/>
            <w:tcBorders>
              <w:top w:val="nil"/>
              <w:left w:val="nil"/>
              <w:bottom w:val="single" w:color="auto" w:sz="4" w:space="0"/>
              <w:right w:val="single" w:color="auto" w:sz="4" w:space="0"/>
            </w:tcBorders>
            <w:shd w:val="clear" w:color="auto" w:fill="auto"/>
            <w:vAlign w:val="center"/>
          </w:tcPr>
          <w:p w14:paraId="0275A0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0D799918">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20629B0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打印机</w:t>
            </w:r>
          </w:p>
        </w:tc>
        <w:tc>
          <w:tcPr>
            <w:tcW w:w="1372" w:type="dxa"/>
            <w:tcBorders>
              <w:top w:val="nil"/>
              <w:left w:val="nil"/>
              <w:bottom w:val="single" w:color="auto" w:sz="4" w:space="0"/>
              <w:right w:val="single" w:color="auto" w:sz="4" w:space="0"/>
            </w:tcBorders>
            <w:shd w:val="clear" w:color="auto" w:fill="auto"/>
            <w:vAlign w:val="center"/>
          </w:tcPr>
          <w:p w14:paraId="23F02E8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A4861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P1106、惠普 P1108</w:t>
            </w:r>
          </w:p>
        </w:tc>
        <w:tc>
          <w:tcPr>
            <w:tcW w:w="1215" w:type="dxa"/>
            <w:tcBorders>
              <w:top w:val="nil"/>
              <w:left w:val="single" w:color="auto" w:sz="4" w:space="0"/>
              <w:bottom w:val="single" w:color="auto" w:sz="4" w:space="0"/>
              <w:right w:val="single" w:color="auto" w:sz="4" w:space="0"/>
            </w:tcBorders>
            <w:shd w:val="clear" w:color="auto" w:fill="auto"/>
            <w:vAlign w:val="center"/>
          </w:tcPr>
          <w:p w14:paraId="68EF018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7C3A3E1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C4160C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3C1B16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04F10DA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86DC2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r>
      <w:tr w14:paraId="6A5B7F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CA8AC7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69460F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23EFB2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30DEE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6C172CB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9B9E3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7CED0A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0C11910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7ED60C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r>
      <w:tr w14:paraId="4B326E0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5BA210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AA22FC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46591A0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E86B9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02747C3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AAA16B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03AA0E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2A9B818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57897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w:t>
            </w:r>
          </w:p>
        </w:tc>
      </w:tr>
      <w:tr w14:paraId="1D556DB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53E6B2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DB3E3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3B48AEA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DDECA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r>
      <w:tr w14:paraId="615F3B4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974F71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B66D3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06E0B0D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3C9FF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290</w:t>
            </w:r>
          </w:p>
        </w:tc>
      </w:tr>
      <w:tr w14:paraId="662370A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C4548E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EF3CF8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7B9474B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0CB1BD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260EB04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693670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19340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57050E6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A8CE11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FA1E6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25577A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40C3F9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2D68944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8543E2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255</w:t>
            </w:r>
          </w:p>
        </w:tc>
      </w:tr>
      <w:tr w14:paraId="650001D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0524E2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DA1E9F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51DBD6B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1106 Plus</w:t>
            </w:r>
          </w:p>
        </w:tc>
        <w:tc>
          <w:tcPr>
            <w:tcW w:w="1215" w:type="dxa"/>
            <w:tcBorders>
              <w:top w:val="nil"/>
              <w:left w:val="single" w:color="auto" w:sz="4" w:space="0"/>
              <w:bottom w:val="single" w:color="auto" w:sz="4" w:space="0"/>
              <w:right w:val="single" w:color="auto" w:sz="4" w:space="0"/>
            </w:tcBorders>
            <w:shd w:val="clear" w:color="auto" w:fill="auto"/>
            <w:vAlign w:val="center"/>
          </w:tcPr>
          <w:p w14:paraId="3F5696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w:t>
            </w:r>
          </w:p>
        </w:tc>
      </w:tr>
      <w:tr w14:paraId="75378D1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FB3E92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CBF04A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27FB748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0082EF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r>
      <w:tr w14:paraId="14FEDFE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48716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4D93DA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2B87B3E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8B6DCC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24BF47C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01E12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BD1572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0D93267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46B366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r>
      <w:tr w14:paraId="6BF65A5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FC2323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4AB575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1FAA861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B5BF6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w:t>
            </w:r>
          </w:p>
        </w:tc>
      </w:tr>
      <w:tr w14:paraId="7D89F4E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69D3D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3EA0F2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5C7CB55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00DB2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r>
      <w:tr w14:paraId="616B6BB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8FDE6B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9E656D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16367E6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BA9681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290</w:t>
            </w:r>
          </w:p>
        </w:tc>
      </w:tr>
      <w:tr w14:paraId="2434679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7B2953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14A914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1731C77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B7C6D9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7FB2C3B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540B8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718037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6D830D0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673033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D872B2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62C4C5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2D7A1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606C02D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DCCC0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255</w:t>
            </w:r>
          </w:p>
        </w:tc>
      </w:tr>
      <w:tr w14:paraId="66A3D82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D03352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E8F6AE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纸张检测传感器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20E711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108A</w:t>
            </w:r>
          </w:p>
        </w:tc>
        <w:tc>
          <w:tcPr>
            <w:tcW w:w="1215" w:type="dxa"/>
            <w:tcBorders>
              <w:top w:val="nil"/>
              <w:left w:val="single" w:color="auto" w:sz="4" w:space="0"/>
              <w:bottom w:val="single" w:color="auto" w:sz="4" w:space="0"/>
              <w:right w:val="single" w:color="auto" w:sz="4" w:space="0"/>
            </w:tcBorders>
            <w:shd w:val="clear" w:color="auto" w:fill="auto"/>
            <w:vAlign w:val="center"/>
          </w:tcPr>
          <w:p w14:paraId="34ECB09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33E3FDD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EF93319">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9969FB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400328D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B778EB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7F96E7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6456B1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6A677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进纸器</w:t>
            </w:r>
          </w:p>
        </w:tc>
        <w:tc>
          <w:tcPr>
            <w:tcW w:w="6045" w:type="dxa"/>
            <w:vMerge w:val="continue"/>
            <w:tcBorders>
              <w:top w:val="nil"/>
              <w:left w:val="single" w:color="auto" w:sz="4" w:space="0"/>
              <w:bottom w:val="single" w:color="auto" w:sz="4" w:space="0"/>
              <w:right w:val="single" w:color="auto" w:sz="4" w:space="0"/>
            </w:tcBorders>
            <w:vAlign w:val="center"/>
          </w:tcPr>
          <w:p w14:paraId="6B06301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7946E5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w:t>
            </w:r>
          </w:p>
        </w:tc>
      </w:tr>
      <w:tr w14:paraId="24303FD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26572C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AA5A77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3696E43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EA9F5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292D460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FAC2EC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F9EEC6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5593983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F19566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w:t>
            </w:r>
          </w:p>
        </w:tc>
      </w:tr>
      <w:tr w14:paraId="278200F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CB853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B792BD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050E8F8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9BCF5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r>
      <w:tr w14:paraId="21D0636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3C6C49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9299C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7882CEA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33F65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29AA553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BE2A99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BB773B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2181D8E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64FC95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w:t>
            </w:r>
          </w:p>
        </w:tc>
      </w:tr>
      <w:tr w14:paraId="3C67D18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2E798E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E20E6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0361ABD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905704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740E166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797B3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24067D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0D6B0E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102a</w:t>
            </w:r>
          </w:p>
        </w:tc>
        <w:tc>
          <w:tcPr>
            <w:tcW w:w="1215" w:type="dxa"/>
            <w:tcBorders>
              <w:top w:val="nil"/>
              <w:left w:val="single" w:color="auto" w:sz="4" w:space="0"/>
              <w:bottom w:val="single" w:color="auto" w:sz="4" w:space="0"/>
              <w:right w:val="single" w:color="auto" w:sz="4" w:space="0"/>
            </w:tcBorders>
            <w:shd w:val="clear" w:color="auto" w:fill="auto"/>
            <w:vAlign w:val="center"/>
          </w:tcPr>
          <w:p w14:paraId="785E71B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r>
      <w:tr w14:paraId="5DF0527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14275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EC5CF2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5457103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76ABD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75FA98A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A08F3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9DE91C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4BDEEDB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409887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F02892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FC7938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F0B25F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5FBE485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EA9580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368A786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3DB34E2">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D0E054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376C97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509BB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48C15FC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59CE72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6A28A5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17F80D1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46152A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r>
      <w:tr w14:paraId="787B4B1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283943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3A6F40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720B5A7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F89DB1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w:t>
            </w:r>
          </w:p>
        </w:tc>
      </w:tr>
      <w:tr w14:paraId="6956E47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3D10E6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3C5C03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553FC79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适配佳能 2900</w:t>
            </w:r>
          </w:p>
        </w:tc>
        <w:tc>
          <w:tcPr>
            <w:tcW w:w="1215" w:type="dxa"/>
            <w:tcBorders>
              <w:top w:val="nil"/>
              <w:left w:val="single" w:color="auto" w:sz="4" w:space="0"/>
              <w:bottom w:val="single" w:color="auto" w:sz="4" w:space="0"/>
              <w:right w:val="single" w:color="auto" w:sz="4" w:space="0"/>
            </w:tcBorders>
            <w:shd w:val="clear" w:color="auto" w:fill="auto"/>
            <w:vAlign w:val="center"/>
          </w:tcPr>
          <w:p w14:paraId="55C8865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31E47F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5D3FD1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D4CDD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6FEFFAC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1C34B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48B56AF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DD87EF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91FAD3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037EC9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78626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r>
      <w:tr w14:paraId="753CFBC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D0AD31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26066C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1740F01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68205F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r>
      <w:tr w14:paraId="0ECBD51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5CC35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FAAE2F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3AF5F10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539A2B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352C4B5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EB35D0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6F4FD3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58E5335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49829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w:t>
            </w:r>
          </w:p>
        </w:tc>
      </w:tr>
      <w:tr w14:paraId="03EBFB0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791EFF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231055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0D95B6C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21EB4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r>
      <w:tr w14:paraId="2AC810F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3105B4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64AE19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68776AF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1144F5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r>
      <w:tr w14:paraId="1325169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2576C1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4E0504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09D8039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B68BD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0C88DB7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B5760B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E0246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0BCB7BE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9F3CB8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5D41DC8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50F6AF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CD223B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13AF72F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F27A38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255</w:t>
            </w:r>
          </w:p>
        </w:tc>
      </w:tr>
      <w:tr w14:paraId="586CB61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890FF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A6A28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FEC5A9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适配北洋 BTP2200E</w:t>
            </w:r>
          </w:p>
        </w:tc>
        <w:tc>
          <w:tcPr>
            <w:tcW w:w="1215" w:type="dxa"/>
            <w:tcBorders>
              <w:top w:val="nil"/>
              <w:left w:val="single" w:color="auto" w:sz="4" w:space="0"/>
              <w:bottom w:val="single" w:color="auto" w:sz="4" w:space="0"/>
              <w:right w:val="single" w:color="auto" w:sz="4" w:space="0"/>
            </w:tcBorders>
            <w:shd w:val="clear" w:color="auto" w:fill="auto"/>
            <w:vAlign w:val="center"/>
          </w:tcPr>
          <w:p w14:paraId="25BAE6D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3430DF1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E32E7E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8F4DEF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4CC9993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0EAA0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520</w:t>
            </w:r>
          </w:p>
        </w:tc>
      </w:tr>
      <w:tr w14:paraId="7C05A53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BB3DED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C2642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79096E5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4FEB4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r>
      <w:tr w14:paraId="6C07011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99B87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6045C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72E80C9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D49630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r>
      <w:tr w14:paraId="7FB8B55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BBA9F9">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BB72D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13DCC7D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79B8C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6337EF5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90CB8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6A29F3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F05FFE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适配得实 DL-210Z</w:t>
            </w:r>
          </w:p>
        </w:tc>
        <w:tc>
          <w:tcPr>
            <w:tcW w:w="1215" w:type="dxa"/>
            <w:tcBorders>
              <w:top w:val="nil"/>
              <w:left w:val="single" w:color="auto" w:sz="4" w:space="0"/>
              <w:bottom w:val="single" w:color="auto" w:sz="4" w:space="0"/>
              <w:right w:val="single" w:color="auto" w:sz="4" w:space="0"/>
            </w:tcBorders>
            <w:shd w:val="clear" w:color="auto" w:fill="auto"/>
            <w:vAlign w:val="center"/>
          </w:tcPr>
          <w:p w14:paraId="7852048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w:t>
            </w:r>
          </w:p>
        </w:tc>
      </w:tr>
      <w:tr w14:paraId="17111F1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1541A4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E6EDF9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0B9E223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05B4B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r>
      <w:tr w14:paraId="06B8650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C096AF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A8CE4E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3BF9E81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B9ACE40">
            <w:pPr>
              <w:keepNext w:val="0"/>
              <w:keepLines w:val="0"/>
              <w:widowControl/>
              <w:suppressLineNumbers w:val="0"/>
              <w:wordWrap/>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r>
      <w:tr w14:paraId="4BA44E9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C5D31C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4F01A1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1293C52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A36FE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7ED2CFE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F5C206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F45E85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23D2709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8D036A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1F7169B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FF4D4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1AF46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切刀模块</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04B8636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适配汉印</w:t>
            </w:r>
            <w:r>
              <w:rPr>
                <w:rFonts w:hint="eastAsia" w:ascii="宋体" w:hAnsi="宋体" w:eastAsia="宋体" w:cs="宋体"/>
                <w:color w:val="auto"/>
                <w:sz w:val="21"/>
                <w:szCs w:val="21"/>
                <w:lang w:eastAsia="zh-CN"/>
              </w:rPr>
              <w:t xml:space="preserve"> TP805L</w:t>
            </w:r>
          </w:p>
        </w:tc>
        <w:tc>
          <w:tcPr>
            <w:tcW w:w="1215" w:type="dxa"/>
            <w:tcBorders>
              <w:top w:val="nil"/>
              <w:left w:val="single" w:color="auto" w:sz="4" w:space="0"/>
              <w:bottom w:val="single" w:color="auto" w:sz="4" w:space="0"/>
              <w:right w:val="single" w:color="auto" w:sz="4" w:space="0"/>
            </w:tcBorders>
            <w:shd w:val="clear" w:color="auto" w:fill="auto"/>
            <w:vAlign w:val="center"/>
          </w:tcPr>
          <w:p w14:paraId="1BE4827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3066C53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87750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F4D32B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511FEBB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3A2490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4A32EAF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12714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5C17DD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60E90AF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DD8C72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499</w:t>
            </w:r>
          </w:p>
        </w:tc>
      </w:tr>
      <w:tr w14:paraId="467E425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F42C1D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8592C1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4495CF0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BB754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269320D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D4E024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2A2F92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5493381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EE616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5E4C289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3D3B45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E4CAFE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3D5D198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28B036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4EA78A2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F014D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D84A2A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4164F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laserjet Pro MFP M427</w:t>
            </w:r>
          </w:p>
        </w:tc>
        <w:tc>
          <w:tcPr>
            <w:tcW w:w="1215" w:type="dxa"/>
            <w:tcBorders>
              <w:top w:val="nil"/>
              <w:left w:val="single" w:color="auto" w:sz="4" w:space="0"/>
              <w:bottom w:val="single" w:color="auto" w:sz="4" w:space="0"/>
              <w:right w:val="single" w:color="auto" w:sz="4" w:space="0"/>
            </w:tcBorders>
            <w:shd w:val="clear" w:color="auto" w:fill="auto"/>
            <w:vAlign w:val="center"/>
          </w:tcPr>
          <w:p w14:paraId="5DBE77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621FA2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B89F4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1FBAB7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分页器</w:t>
            </w:r>
          </w:p>
        </w:tc>
        <w:tc>
          <w:tcPr>
            <w:tcW w:w="6045" w:type="dxa"/>
            <w:vMerge w:val="continue"/>
            <w:tcBorders>
              <w:top w:val="nil"/>
              <w:left w:val="single" w:color="auto" w:sz="4" w:space="0"/>
              <w:bottom w:val="single" w:color="auto" w:sz="4" w:space="0"/>
              <w:right w:val="single" w:color="auto" w:sz="4" w:space="0"/>
            </w:tcBorders>
            <w:vAlign w:val="center"/>
          </w:tcPr>
          <w:p w14:paraId="49461CF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CA8DA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70A808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2BEBD8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4C82A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出纸组件</w:t>
            </w:r>
          </w:p>
        </w:tc>
        <w:tc>
          <w:tcPr>
            <w:tcW w:w="6045" w:type="dxa"/>
            <w:vMerge w:val="continue"/>
            <w:tcBorders>
              <w:top w:val="nil"/>
              <w:left w:val="single" w:color="auto" w:sz="4" w:space="0"/>
              <w:bottom w:val="single" w:color="auto" w:sz="4" w:space="0"/>
              <w:right w:val="single" w:color="auto" w:sz="4" w:space="0"/>
            </w:tcBorders>
            <w:vAlign w:val="center"/>
          </w:tcPr>
          <w:p w14:paraId="1EA88E4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5E8C0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w:t>
            </w:r>
          </w:p>
        </w:tc>
      </w:tr>
      <w:tr w14:paraId="5CA15E4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1DCA23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251B4F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进纸盒</w:t>
            </w:r>
          </w:p>
        </w:tc>
        <w:tc>
          <w:tcPr>
            <w:tcW w:w="6045" w:type="dxa"/>
            <w:vMerge w:val="continue"/>
            <w:tcBorders>
              <w:top w:val="nil"/>
              <w:left w:val="single" w:color="auto" w:sz="4" w:space="0"/>
              <w:bottom w:val="single" w:color="auto" w:sz="4" w:space="0"/>
              <w:right w:val="single" w:color="auto" w:sz="4" w:space="0"/>
            </w:tcBorders>
            <w:vAlign w:val="center"/>
          </w:tcPr>
          <w:p w14:paraId="1CF7100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5E4FD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w:t>
            </w:r>
          </w:p>
        </w:tc>
      </w:tr>
      <w:tr w14:paraId="10958F0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C6B75A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364D26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双面离合器</w:t>
            </w:r>
          </w:p>
        </w:tc>
        <w:tc>
          <w:tcPr>
            <w:tcW w:w="6045" w:type="dxa"/>
            <w:vMerge w:val="continue"/>
            <w:tcBorders>
              <w:top w:val="nil"/>
              <w:left w:val="single" w:color="auto" w:sz="4" w:space="0"/>
              <w:bottom w:val="single" w:color="auto" w:sz="4" w:space="0"/>
              <w:right w:val="single" w:color="auto" w:sz="4" w:space="0"/>
            </w:tcBorders>
            <w:vAlign w:val="center"/>
          </w:tcPr>
          <w:p w14:paraId="6C3E985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00FCF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r>
      <w:tr w14:paraId="58DD9F4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E4FD94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8C5C4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手动继电器</w:t>
            </w:r>
          </w:p>
        </w:tc>
        <w:tc>
          <w:tcPr>
            <w:tcW w:w="6045" w:type="dxa"/>
            <w:vMerge w:val="continue"/>
            <w:tcBorders>
              <w:top w:val="nil"/>
              <w:left w:val="single" w:color="auto" w:sz="4" w:space="0"/>
              <w:bottom w:val="single" w:color="auto" w:sz="4" w:space="0"/>
              <w:right w:val="single" w:color="auto" w:sz="4" w:space="0"/>
            </w:tcBorders>
            <w:vAlign w:val="center"/>
          </w:tcPr>
          <w:p w14:paraId="60EEE2F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28E10C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r>
      <w:tr w14:paraId="741B575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D69CEB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A0D7D9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纸盒继电器</w:t>
            </w:r>
          </w:p>
        </w:tc>
        <w:tc>
          <w:tcPr>
            <w:tcW w:w="6045" w:type="dxa"/>
            <w:vMerge w:val="continue"/>
            <w:tcBorders>
              <w:top w:val="nil"/>
              <w:left w:val="single" w:color="auto" w:sz="4" w:space="0"/>
              <w:bottom w:val="single" w:color="auto" w:sz="4" w:space="0"/>
              <w:right w:val="single" w:color="auto" w:sz="4" w:space="0"/>
            </w:tcBorders>
            <w:vAlign w:val="center"/>
          </w:tcPr>
          <w:p w14:paraId="0153D49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E7829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r>
      <w:tr w14:paraId="5739C9F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484932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B04814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2EED697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750724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r>
      <w:tr w14:paraId="18423F3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DE081D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A5A253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控制面板</w:t>
            </w:r>
          </w:p>
        </w:tc>
        <w:tc>
          <w:tcPr>
            <w:tcW w:w="6045" w:type="dxa"/>
            <w:vMerge w:val="continue"/>
            <w:tcBorders>
              <w:top w:val="nil"/>
              <w:left w:val="single" w:color="auto" w:sz="4" w:space="0"/>
              <w:bottom w:val="single" w:color="auto" w:sz="4" w:space="0"/>
              <w:right w:val="single" w:color="auto" w:sz="4" w:space="0"/>
            </w:tcBorders>
            <w:vAlign w:val="center"/>
          </w:tcPr>
          <w:p w14:paraId="3405CA9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A12382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w:t>
            </w:r>
          </w:p>
        </w:tc>
      </w:tr>
      <w:tr w14:paraId="2B5A721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29DAB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E38CDB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3477732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B555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2636B35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1F733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32C50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5F428AC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BA49C5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371BC9C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3843BC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064B6F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463BA3F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C94503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w:t>
            </w:r>
          </w:p>
        </w:tc>
      </w:tr>
      <w:tr w14:paraId="4D13D48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9C1E77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48F67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高压板</w:t>
            </w:r>
          </w:p>
        </w:tc>
        <w:tc>
          <w:tcPr>
            <w:tcW w:w="6045" w:type="dxa"/>
            <w:vMerge w:val="continue"/>
            <w:tcBorders>
              <w:top w:val="nil"/>
              <w:left w:val="single" w:color="auto" w:sz="4" w:space="0"/>
              <w:bottom w:val="single" w:color="auto" w:sz="4" w:space="0"/>
              <w:right w:val="single" w:color="auto" w:sz="4" w:space="0"/>
            </w:tcBorders>
            <w:vAlign w:val="center"/>
          </w:tcPr>
          <w:p w14:paraId="2E2CC06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08DED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w:t>
            </w:r>
          </w:p>
        </w:tc>
      </w:tr>
      <w:tr w14:paraId="4B272EB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9D767F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244BAE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输稿器</w:t>
            </w:r>
          </w:p>
        </w:tc>
        <w:tc>
          <w:tcPr>
            <w:tcW w:w="6045" w:type="dxa"/>
            <w:vMerge w:val="continue"/>
            <w:tcBorders>
              <w:top w:val="nil"/>
              <w:left w:val="single" w:color="auto" w:sz="4" w:space="0"/>
              <w:bottom w:val="single" w:color="auto" w:sz="4" w:space="0"/>
              <w:right w:val="single" w:color="auto" w:sz="4" w:space="0"/>
            </w:tcBorders>
            <w:vAlign w:val="center"/>
          </w:tcPr>
          <w:p w14:paraId="25BEBBB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9D3DF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r>
      <w:tr w14:paraId="5707DF2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981969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90F7E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24E9F1F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21540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r>
      <w:tr w14:paraId="755D7F9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A2C989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FC4CD0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扫描器组件</w:t>
            </w:r>
          </w:p>
        </w:tc>
        <w:tc>
          <w:tcPr>
            <w:tcW w:w="6045" w:type="dxa"/>
            <w:vMerge w:val="continue"/>
            <w:tcBorders>
              <w:top w:val="nil"/>
              <w:left w:val="single" w:color="auto" w:sz="4" w:space="0"/>
              <w:bottom w:val="single" w:color="auto" w:sz="4" w:space="0"/>
              <w:right w:val="single" w:color="auto" w:sz="4" w:space="0"/>
            </w:tcBorders>
            <w:vAlign w:val="center"/>
          </w:tcPr>
          <w:p w14:paraId="5DD2BFC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F3C33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r>
      <w:tr w14:paraId="20ED89A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13CBBA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72EF1A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进纸驱动齿轮组</w:t>
            </w:r>
          </w:p>
        </w:tc>
        <w:tc>
          <w:tcPr>
            <w:tcW w:w="6045" w:type="dxa"/>
            <w:vMerge w:val="continue"/>
            <w:tcBorders>
              <w:top w:val="nil"/>
              <w:left w:val="single" w:color="auto" w:sz="4" w:space="0"/>
              <w:bottom w:val="single" w:color="auto" w:sz="4" w:space="0"/>
              <w:right w:val="single" w:color="auto" w:sz="4" w:space="0"/>
            </w:tcBorders>
            <w:vAlign w:val="center"/>
          </w:tcPr>
          <w:p w14:paraId="015006C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282DF2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w:t>
            </w:r>
          </w:p>
        </w:tc>
      </w:tr>
      <w:tr w14:paraId="507294B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3BF79A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BD2AD4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进纸组件</w:t>
            </w:r>
          </w:p>
        </w:tc>
        <w:tc>
          <w:tcPr>
            <w:tcW w:w="6045" w:type="dxa"/>
            <w:vMerge w:val="continue"/>
            <w:tcBorders>
              <w:top w:val="nil"/>
              <w:left w:val="single" w:color="auto" w:sz="4" w:space="0"/>
              <w:bottom w:val="single" w:color="auto" w:sz="4" w:space="0"/>
              <w:right w:val="single" w:color="auto" w:sz="4" w:space="0"/>
            </w:tcBorders>
            <w:vAlign w:val="center"/>
          </w:tcPr>
          <w:p w14:paraId="323D02A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64EF9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w:t>
            </w:r>
          </w:p>
        </w:tc>
      </w:tr>
      <w:tr w14:paraId="5453FF75">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48C1FE4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显示器</w:t>
            </w:r>
          </w:p>
        </w:tc>
        <w:tc>
          <w:tcPr>
            <w:tcW w:w="1372" w:type="dxa"/>
            <w:tcBorders>
              <w:top w:val="nil"/>
              <w:left w:val="nil"/>
              <w:bottom w:val="single" w:color="auto" w:sz="4" w:space="0"/>
              <w:right w:val="single" w:color="auto" w:sz="4" w:space="0"/>
            </w:tcBorders>
            <w:shd w:val="clear" w:color="auto" w:fill="auto"/>
            <w:vAlign w:val="center"/>
          </w:tcPr>
          <w:p w14:paraId="64BC4AB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27533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适配Acer显示器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30B3B6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6E33FBF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6FCCA8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698C4E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28EA0F3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C11125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r>
      <w:tr w14:paraId="08DE388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BC154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4171EC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2106D17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2ED57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72D4AD7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DBE8A7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1CC54F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03EEB82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2B722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439CCB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A80CB6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0E6932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按键板开关板 </w:t>
            </w:r>
          </w:p>
        </w:tc>
        <w:tc>
          <w:tcPr>
            <w:tcW w:w="6045" w:type="dxa"/>
            <w:vMerge w:val="continue"/>
            <w:tcBorders>
              <w:top w:val="nil"/>
              <w:left w:val="single" w:color="auto" w:sz="4" w:space="0"/>
              <w:bottom w:val="single" w:color="auto" w:sz="4" w:space="0"/>
              <w:right w:val="single" w:color="auto" w:sz="4" w:space="0"/>
            </w:tcBorders>
            <w:vAlign w:val="center"/>
          </w:tcPr>
          <w:p w14:paraId="14F67F0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734792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15705AA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43989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0EFE12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3029D33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5EEDF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3FA49D5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56C55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51FDB2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03F48B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适配联想显示器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6A60D18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403E229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28FC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737AF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22048CF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99C5F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r>
      <w:tr w14:paraId="1D3AF20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3799D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C0F68E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04728A9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8EA0F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58BA19D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7A646E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11EF3C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5872D58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EAF1A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r>
      <w:tr w14:paraId="11E35BE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8CAB36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3BA7D7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1FB44FD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1063E1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r>
      <w:tr w14:paraId="556DD429">
        <w:tblPrEx>
          <w:tblCellMar>
            <w:top w:w="0" w:type="dxa"/>
            <w:left w:w="108" w:type="dxa"/>
            <w:bottom w:w="0" w:type="dxa"/>
            <w:right w:w="108" w:type="dxa"/>
          </w:tblCellMar>
        </w:tblPrEx>
        <w:trPr>
          <w:trHeight w:val="855" w:hRule="atLeast"/>
        </w:trPr>
        <w:tc>
          <w:tcPr>
            <w:tcW w:w="953" w:type="dxa"/>
            <w:tcBorders>
              <w:top w:val="nil"/>
              <w:left w:val="single" w:color="auto" w:sz="4" w:space="0"/>
              <w:bottom w:val="single" w:color="auto" w:sz="4" w:space="0"/>
              <w:right w:val="single" w:color="auto" w:sz="4" w:space="0"/>
            </w:tcBorders>
            <w:shd w:val="clear" w:color="auto" w:fill="auto"/>
            <w:noWrap/>
            <w:vAlign w:val="center"/>
          </w:tcPr>
          <w:p w14:paraId="090B4A5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1372" w:type="dxa"/>
            <w:tcBorders>
              <w:top w:val="nil"/>
              <w:left w:val="nil"/>
              <w:bottom w:val="single" w:color="auto" w:sz="4" w:space="0"/>
              <w:right w:val="single" w:color="auto" w:sz="4" w:space="0"/>
            </w:tcBorders>
            <w:shd w:val="clear" w:color="auto" w:fill="auto"/>
            <w:vAlign w:val="center"/>
          </w:tcPr>
          <w:p w14:paraId="7ABB133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维修工时费</w:t>
            </w:r>
          </w:p>
        </w:tc>
        <w:tc>
          <w:tcPr>
            <w:tcW w:w="6045" w:type="dxa"/>
            <w:tcBorders>
              <w:top w:val="nil"/>
              <w:left w:val="nil"/>
              <w:bottom w:val="single" w:color="auto" w:sz="4" w:space="0"/>
              <w:right w:val="single" w:color="auto" w:sz="4" w:space="0"/>
            </w:tcBorders>
            <w:shd w:val="clear" w:color="auto" w:fill="auto"/>
            <w:vAlign w:val="center"/>
          </w:tcPr>
          <w:p w14:paraId="591D7792">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维修工时费是每次信息设备维修或更换配件时的劳动服务费，包含每台信息设备所需的相应系统及驱动安装费用，单台信息设备每次维修或更换配件（一次更换多个配件也算作一次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因供应商原因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如配件不足、技术误判</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导致</w:t>
            </w:r>
            <w:r>
              <w:rPr>
                <w:rFonts w:hint="eastAsia" w:ascii="宋体" w:hAnsi="宋体" w:eastAsia="宋体" w:cs="宋体"/>
                <w:color w:val="auto"/>
                <w:sz w:val="21"/>
                <w:szCs w:val="21"/>
                <w:lang w:val="en-US" w:eastAsia="zh-CN"/>
              </w:rPr>
              <w:t>再</w:t>
            </w:r>
            <w:r>
              <w:rPr>
                <w:rFonts w:hint="eastAsia" w:ascii="宋体" w:hAnsi="宋体" w:eastAsia="宋体" w:cs="宋体"/>
                <w:color w:val="auto"/>
                <w:sz w:val="21"/>
                <w:szCs w:val="21"/>
              </w:rPr>
              <w:t>次</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的，不得再次收取工时费），维修工时费只能收取一次。</w:t>
            </w:r>
          </w:p>
        </w:tc>
        <w:tc>
          <w:tcPr>
            <w:tcW w:w="1215" w:type="dxa"/>
            <w:tcBorders>
              <w:top w:val="nil"/>
              <w:left w:val="nil"/>
              <w:bottom w:val="single" w:color="auto" w:sz="4" w:space="0"/>
              <w:right w:val="single" w:color="auto" w:sz="4" w:space="0"/>
            </w:tcBorders>
            <w:shd w:val="clear" w:color="auto" w:fill="auto"/>
            <w:vAlign w:val="center"/>
          </w:tcPr>
          <w:p w14:paraId="70BCD8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r>
    </w:tbl>
    <w:p w14:paraId="4EBE2030">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p>
    <w:p w14:paraId="0A10E5F8">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注：（以下备注内容无须在技术、服务及其他要求应答表中响应）</w:t>
      </w:r>
    </w:p>
    <w:p w14:paraId="5DF704AF">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1、设备维修总费用由“品目成交单价 + 工时费”构成，供应商须在维修结算单据中详细列示各项费用明细。每台设备的维修费是由每台设备维修产生的零配件费用和维修工时费合计组成，同时每台设备当次存在多个维修项目时，维修工时费不得进行累加，只能收取一次。在完成每台设备维修的一个月内对同一台设备的相同维修项目多次维修，即只能收取一次维修工时费。</w:t>
      </w:r>
    </w:p>
    <w:p w14:paraId="65069913">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2、所列参数为最低技术要求。供应商提供的货物性能及指标不得低于该标准，允许优于（正偏离）本参数。</w:t>
      </w:r>
    </w:p>
    <w:p w14:paraId="25969BC4">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3、本清单设备型号为主要维保对象，更换配件须确保适配。对于清单范围外的配件更换或设备维修，双方应参照届时市场公允价格（以京东自营等主流电商平台售价为参考基准）协商确定成交价。原则上执行合同内商品目录，确需采购合同外商品的，须经双方协商定价后实施。</w:t>
      </w:r>
    </w:p>
    <w:p w14:paraId="60BD89B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DBEB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供应商提供的所有配件若采购文件中的技术要求无明确说明，则按国家有关部门及生产企业最新颁布的要求为准，包括货物售后质保期时间。</w:t>
      </w:r>
    </w:p>
    <w:p w14:paraId="75E2E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供应商所提供的维修零配件须是全新产品，不得提供拆封配件、样品配件、翻新配件等。并完全符合国家有关质量标准和采购文件要求，货物应无明显划伤、无碰撞痕迹、无损坏。货物包装应为出厂时的原包装，包装在装卸、运输和仓储过程中能够对货物提供足够保护，防止货物受潮、腐蚀、被冲击等产生损坏。货物包装应干净、结实、无破损、封口严密、方便储存、运输和使用。每件包装上须注明品名、规格、生产厂家、生产日期、质量合格标志等。</w:t>
      </w:r>
    </w:p>
    <w:p w14:paraId="28A2F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供应商提供至少一名专职维修人员负责我院设备维修业务，维修人员电话要求7*24小时保持畅通，在接到院方通知后1小时内能到达维修现场，并提供检测维修服务，应急维修在接到院方通知后半小时内到达维修现场。</w:t>
      </w:r>
    </w:p>
    <w:p w14:paraId="48B77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供应商到达维修现场后应立即对故障位置的设备进行检查，检查后将维修方案及维修费用告知采购人设备管理人员，在接到设备管理人员的维修派工单后，应尽快完成设备维修，维修完成后及时反馈给使用科室，并在使用科室测试维修合格后，由使用科室签字同意后视为维修过程结束。供应商所供零配件和服务质量与约定不符应无条件返工</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维修过程中不</w:t>
      </w:r>
      <w:r>
        <w:rPr>
          <w:rFonts w:hint="eastAsia" w:ascii="仿宋" w:hAnsi="仿宋" w:eastAsia="仿宋" w:cs="仿宋"/>
          <w:kern w:val="2"/>
          <w:sz w:val="28"/>
          <w:szCs w:val="28"/>
          <w:lang w:val="en-US" w:eastAsia="zh-CN" w:bidi="ar-SA"/>
        </w:rPr>
        <w:t>得</w:t>
      </w:r>
      <w:r>
        <w:rPr>
          <w:rFonts w:hint="default" w:ascii="仿宋" w:hAnsi="仿宋" w:eastAsia="仿宋" w:cs="仿宋"/>
          <w:kern w:val="2"/>
          <w:sz w:val="28"/>
          <w:szCs w:val="28"/>
          <w:lang w:val="en-US" w:eastAsia="zh-CN" w:bidi="ar-SA"/>
        </w:rPr>
        <w:t>对采购人其它设施设备的使用造成影响，供应商不得随意变更专职维修人员。</w:t>
      </w:r>
    </w:p>
    <w:p w14:paraId="267C9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5</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供应商</w:t>
      </w:r>
      <w:r>
        <w:rPr>
          <w:rFonts w:hint="eastAsia" w:ascii="仿宋" w:hAnsi="仿宋" w:eastAsia="仿宋" w:cs="仿宋"/>
          <w:kern w:val="2"/>
          <w:sz w:val="28"/>
          <w:szCs w:val="28"/>
          <w:lang w:val="en-US" w:eastAsia="zh-CN" w:bidi="ar-SA"/>
        </w:rPr>
        <w:t>应</w:t>
      </w:r>
      <w:r>
        <w:rPr>
          <w:rFonts w:hint="default" w:ascii="仿宋" w:hAnsi="仿宋" w:eastAsia="仿宋" w:cs="仿宋"/>
          <w:kern w:val="2"/>
          <w:sz w:val="28"/>
          <w:szCs w:val="28"/>
          <w:lang w:val="en-US" w:eastAsia="zh-CN" w:bidi="ar-SA"/>
        </w:rPr>
        <w:t>做好设备维修的安全防护工作，确保</w:t>
      </w:r>
      <w:r>
        <w:rPr>
          <w:rFonts w:hint="eastAsia" w:ascii="仿宋" w:hAnsi="仿宋" w:eastAsia="仿宋" w:cs="仿宋"/>
          <w:kern w:val="2"/>
          <w:sz w:val="28"/>
          <w:szCs w:val="28"/>
          <w:lang w:val="en-US" w:eastAsia="zh-CN" w:bidi="ar-SA"/>
        </w:rPr>
        <w:t>作业</w:t>
      </w:r>
      <w:r>
        <w:rPr>
          <w:rFonts w:hint="default" w:ascii="仿宋" w:hAnsi="仿宋" w:eastAsia="仿宋" w:cs="仿宋"/>
          <w:kern w:val="2"/>
          <w:sz w:val="28"/>
          <w:szCs w:val="28"/>
          <w:lang w:val="en-US" w:eastAsia="zh-CN" w:bidi="ar-SA"/>
        </w:rPr>
        <w:t>施工安全，若造成业主设施、设备的损坏，由供应商负责赔偿；供应商在运输、安装、调试设备过程中造成人身伤害或财产损失，其全部责任均由供应商承担，院方概不负责。</w:t>
      </w:r>
    </w:p>
    <w:p w14:paraId="00457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6.供应商派遣的专职维修人员应具有丰富的设备维修经验，对于设备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p>
    <w:p w14:paraId="54571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7.供应商在更换维修零配件后，替换下来的故障维修配件应交付予采购人管理人员，供应商不得私自带走。</w:t>
      </w:r>
    </w:p>
    <w:p w14:paraId="6D3E3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8.供应商应提供合同履约期间维修数据统计工作，每月以电子文档形式将当月所有维修内容、更换配件内容发送至采购人相关工作人员存档。</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536D16E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Style w:val="6"/>
          <w:rFonts w:hint="default" w:ascii="仿宋" w:hAnsi="仿宋" w:eastAsia="仿宋" w:cs="仿宋"/>
          <w:b w:val="0"/>
          <w:bCs w:val="0"/>
          <w:i w:val="0"/>
          <w:iCs w:val="0"/>
          <w:caps w:val="0"/>
          <w:color w:val="222222"/>
          <w:spacing w:val="0"/>
          <w:sz w:val="28"/>
          <w:szCs w:val="28"/>
          <w:lang w:val="en-US" w:eastAsia="zh-CN"/>
        </w:rPr>
      </w:pPr>
      <w:r>
        <w:rPr>
          <w:rStyle w:val="6"/>
          <w:rFonts w:hint="eastAsia" w:ascii="仿宋" w:hAnsi="仿宋" w:eastAsia="仿宋" w:cs="仿宋"/>
          <w:b w:val="0"/>
          <w:bCs w:val="0"/>
          <w:i w:val="0"/>
          <w:iCs w:val="0"/>
          <w:caps w:val="0"/>
          <w:color w:val="222222"/>
          <w:spacing w:val="0"/>
          <w:sz w:val="28"/>
          <w:szCs w:val="28"/>
          <w:lang w:eastAsia="zh-CN"/>
        </w:rPr>
        <w:t>本项目为采一签三项目，合同一年一签。合同履行期限为签字盖章生效之日起壹年，合同期届满或合同金额使用完毕合同自然终止，两者以先到为准。</w:t>
      </w:r>
      <w:r>
        <w:rPr>
          <w:rStyle w:val="6"/>
          <w:rFonts w:hint="eastAsia" w:ascii="仿宋" w:hAnsi="仿宋" w:eastAsia="仿宋" w:cs="仿宋"/>
          <w:b w:val="0"/>
          <w:bCs w:val="0"/>
          <w:i w:val="0"/>
          <w:iCs w:val="0"/>
          <w:caps w:val="0"/>
          <w:color w:val="222222"/>
          <w:spacing w:val="0"/>
          <w:sz w:val="28"/>
          <w:szCs w:val="28"/>
          <w:lang w:val="en-US" w:eastAsia="zh-CN"/>
        </w:rPr>
        <w:t>第一年合同期满后经采购人同意可以续签合同一年，最多续签两次。</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（二）合同履行地点：大竹县人民医院院内指定地点。维修配件未成功安装之前，货物的损毁、灭失风险由供应商承担。</w:t>
      </w:r>
    </w:p>
    <w:p w14:paraId="3A653F79">
      <w:pPr>
        <w:pStyle w:val="8"/>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18D535B3">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1、合同履行期间，本项目采购总金额在达到项目成交总金额前，采购人和成交供应商每季度核算一次成交供应商所提供的维修配件及维修工时费。</w:t>
      </w:r>
    </w:p>
    <w:p w14:paraId="3CDE2961">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供应商应完成与采购人当季度的维修台账统计工作，并提供合同履约期间科室签字确认的维修派工单给采购人。</w:t>
      </w:r>
    </w:p>
    <w:p w14:paraId="12FF7BE9">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成交供应商为一般纳税人的，应当提供增值税专用发票。</w:t>
      </w:r>
    </w:p>
    <w:p w14:paraId="4D46645A">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3、双方核对一致后，成交供应商才可开具发票。每季度采购人在收到成交供应商前款所述有效票据后，90日内转账支付供应商该批次服务费。</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6362D5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交付标准：按国家相关法律法规、行业标准、技术规范；采购文件相关技术、服务要求、成交供应商投标文件相关响应内容；中标产品生产厂家出具的产品说明书、技术白皮书等技术资料；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2B98E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供应商配合、协助提供验收所需资料及功能演示，按照《大竹县人民医院采购管理制度》要求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（六）售后服务</w:t>
      </w:r>
    </w:p>
    <w:p w14:paraId="17F7208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所更换的维修零配件应具有符合国家标准及行业标准的质保期。质保期内，更换的维修零配件再次出现故障，供应商应无条件进行修复或重新更换，完成售后服务的维修处置时间不超过7天，供应商不得再另行收取费用，若更换的维修零配件在质保期内出现两次以上相同故障，成交供应商应无偿更换新的零配件。</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2、采购人对供应商提供的维修服务质量进行监督，维修后的设备应能正常使用，确保设备无问题后与使用科室进行交接，并完成维修工单的确认签字。</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（1）项目履行期限内，供应商明确表示或者以自己的行为表明不履行本项目合同的主要义务，则供应商违约，供应商应向采购人缴纳合同总价款10%的违约金，同时采购人有权解除合同。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（2）供应商提供的货物或服务根本违约（例如提供假冒伪劣产品或以次充好），致使合同的目的不能实现的，供应商应向采购人缴纳合同总价款10%的违约金，同时采购人有权解除合同。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元，同时供应商经采购人催告后应继续按合同约定履行合同。合同履行期内3次延迟履约，则供应商应向采购人缴纳合同总价款5%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供应商在合同履行期内瑕疵违约的，每有一次违约行为供应商应向采购人支付违约金200元，同时经采购人催告后供应商应继续按合同约定履行合同。合同履行期内3次瑕疵履约，则供应商应向采购人缴纳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8"/>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8"/>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6021CD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kern w:val="2"/>
          <w:sz w:val="28"/>
          <w:szCs w:val="28"/>
          <w:lang w:val="en-US" w:eastAsia="zh-CN" w:bidi="ar-SA"/>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报价方式</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b/>
          <w:bCs/>
          <w:color w:val="FF0000"/>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auto"/>
          <w:sz w:val="28"/>
          <w:szCs w:val="28"/>
          <w:lang w:val="en-US" w:eastAsia="zh-CN"/>
        </w:rPr>
        <w:t>折扣率，</w:t>
      </w:r>
      <w:r>
        <w:rPr>
          <w:rFonts w:hint="eastAsia" w:ascii="仿宋" w:hAnsi="仿宋" w:eastAsia="仿宋" w:cs="仿宋"/>
          <w:b/>
          <w:bCs/>
          <w:color w:val="auto"/>
          <w:sz w:val="28"/>
          <w:szCs w:val="28"/>
          <w:lang w:eastAsia="zh-CN"/>
        </w:rPr>
        <w:t>本项目所有货物采购价格</w:t>
      </w:r>
      <w:r>
        <w:rPr>
          <w:rFonts w:hint="eastAsia" w:ascii="仿宋" w:hAnsi="仿宋" w:eastAsia="仿宋" w:cs="仿宋"/>
          <w:b/>
          <w:bCs/>
          <w:color w:val="auto"/>
          <w:sz w:val="28"/>
          <w:szCs w:val="28"/>
          <w:lang w:val="en-US" w:eastAsia="zh-CN"/>
        </w:rPr>
        <w:t>和维修工时费</w:t>
      </w:r>
      <w:r>
        <w:rPr>
          <w:rFonts w:hint="eastAsia" w:ascii="仿宋" w:hAnsi="仿宋" w:eastAsia="仿宋" w:cs="仿宋"/>
          <w:b/>
          <w:bCs/>
          <w:color w:val="auto"/>
          <w:sz w:val="28"/>
          <w:szCs w:val="28"/>
          <w:lang w:eastAsia="zh-CN"/>
        </w:rPr>
        <w:t>均按此</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FF0000"/>
          <w:sz w:val="28"/>
          <w:szCs w:val="28"/>
          <w:lang w:eastAsia="zh-CN"/>
        </w:rPr>
        <w:t>折扣率</w:t>
      </w:r>
      <w:r>
        <w:rPr>
          <w:rFonts w:hint="eastAsia" w:ascii="仿宋" w:hAnsi="仿宋" w:eastAsia="仿宋" w:cs="仿宋"/>
          <w:b/>
          <w:bCs/>
          <w:color w:val="auto"/>
          <w:sz w:val="28"/>
          <w:szCs w:val="28"/>
          <w:lang w:eastAsia="zh-CN"/>
        </w:rPr>
        <w:t>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4239A326">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jc w:val="left"/>
        <w:textAlignment w:val="auto"/>
        <w:outlineLvl w:val="1"/>
        <w:rPr>
          <w:rFonts w:hint="eastAsia" w:ascii="仿宋" w:hAnsi="仿宋" w:eastAsia="仿宋" w:cs="仿宋"/>
          <w:color w:val="auto"/>
          <w:spacing w:val="-14"/>
          <w:sz w:val="28"/>
          <w:szCs w:val="28"/>
        </w:rPr>
      </w:pPr>
      <w:r>
        <w:rPr>
          <w:rFonts w:hint="eastAsia" w:ascii="仿宋" w:hAnsi="仿宋" w:eastAsia="仿宋" w:cs="仿宋"/>
          <w:sz w:val="28"/>
          <w:szCs w:val="28"/>
        </w:rPr>
        <w:t>若成交供应商报价折扣率为92%，则成交供应商单台维修费用结算金额为=维修配件</w:t>
      </w:r>
      <w:r>
        <w:rPr>
          <w:rFonts w:hint="eastAsia" w:ascii="仿宋" w:hAnsi="仿宋" w:eastAsia="仿宋" w:cs="仿宋"/>
          <w:sz w:val="28"/>
          <w:szCs w:val="28"/>
          <w:lang w:val="en-US" w:eastAsia="zh-CN"/>
        </w:rPr>
        <w:t>X</w:t>
      </w:r>
      <w:r>
        <w:rPr>
          <w:rFonts w:hint="eastAsia" w:ascii="仿宋" w:hAnsi="仿宋" w:eastAsia="仿宋" w:cs="仿宋"/>
          <w:sz w:val="28"/>
          <w:szCs w:val="28"/>
        </w:rPr>
        <w:t>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pacing w:val="-14"/>
          <w:sz w:val="28"/>
          <w:szCs w:val="28"/>
          <w:lang w:val="en-US" w:eastAsia="zh-CN"/>
        </w:rPr>
        <w:t>维修装机费</w:t>
      </w:r>
      <w:r>
        <w:rPr>
          <w:rFonts w:hint="eastAsia" w:ascii="仿宋" w:hAnsi="仿宋" w:eastAsia="仿宋" w:cs="仿宋"/>
          <w:sz w:val="28"/>
          <w:szCs w:val="28"/>
        </w:rPr>
        <w:t>X元/项（单项最高限价）</w:t>
      </w:r>
      <w:r>
        <w:rPr>
          <w:rFonts w:hint="eastAsia" w:ascii="仿宋" w:hAnsi="仿宋" w:eastAsia="仿宋" w:cs="仿宋"/>
          <w:spacing w:val="-14"/>
          <w:sz w:val="28"/>
          <w:szCs w:val="28"/>
        </w:rPr>
        <w:t>×92%（成交供应商报价折扣率）。</w:t>
      </w:r>
    </w:p>
    <w:p w14:paraId="7787EAE0">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716C90CF">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的维修或配件等内容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6E090A8C">
      <w:pPr>
        <w:ind w:firstLine="560" w:firstLineChars="200"/>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3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styleId="8">
    <w:name w:val="List Paragraph"/>
    <w:basedOn w:val="1"/>
    <w:autoRedefine/>
    <w:qFormat/>
    <w:uiPriority w:val="0"/>
    <w:pPr>
      <w:ind w:firstLine="420" w:firstLineChars="200"/>
    </w:pPr>
    <w:rPr>
      <w:szCs w:val="24"/>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2026-04-24T02:43:11Z</dcterms:created>
  <dc:creator>Administrator</dc:creator>
  <cp:lastModifiedBy>WPS_1774228208</cp:lastModifiedBy>
  <dcterms:modified xsi:type="dcterms:W3CDTF">2026-04-24T02:44:04Z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eyJoZGlkIjoiY2Y2MTBmZGIzOTYwMzFkMDI1MjVlNDdhYjY3NDk1ZTAiLCJ1c2VySWQiOiIxODE0OTU1NzMzIn0=</vt:lpwstr>
  </property>
  <property fmtid="{D5CDD505-2E9C-101B-9397-08002B2CF9AE}" pid="4" name="ICV">
    <vt:lpwstr>A4E93642237848E58C368D93663ADE3D_12</vt:lpwstr>
  </property>
</Properties>
</file>