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090CC">
      <w:pPr>
        <w:pStyle w:val="6"/>
        <w:keepNext w:val="0"/>
        <w:keepLines w:val="0"/>
        <w:pageBreakBefore w:val="0"/>
        <w:widowControl w:val="0"/>
        <w:kinsoku/>
        <w:wordWrap/>
        <w:overflowPunct/>
        <w:topLinePunct w:val="0"/>
        <w:autoSpaceDE/>
        <w:autoSpaceDN/>
        <w:bidi w:val="0"/>
        <w:adjustRightInd/>
        <w:snapToGrid/>
        <w:spacing w:after="287" w:afterLines="100" w:line="560" w:lineRule="exact"/>
        <w:ind w:left="0" w:leftChars="0" w:firstLine="0" w:firstLineChars="0"/>
        <w:jc w:val="center"/>
        <w:textAlignment w:val="auto"/>
        <w:rPr>
          <w:rFonts w:hint="default" w:ascii="黑体" w:hAnsi="黑体" w:eastAsia="黑体" w:cs="黑体"/>
          <w:b/>
          <w:sz w:val="44"/>
          <w:szCs w:val="44"/>
          <w:highlight w:val="none"/>
          <w:lang w:val="en-US" w:eastAsia="zh-CN"/>
        </w:rPr>
      </w:pPr>
      <w:r>
        <w:rPr>
          <w:rFonts w:hint="eastAsia" w:ascii="黑体" w:hAnsi="黑体" w:eastAsia="黑体" w:cs="黑体"/>
          <w:b/>
          <w:sz w:val="44"/>
          <w:szCs w:val="44"/>
          <w:highlight w:val="none"/>
          <w:lang w:val="en-US" w:eastAsia="zh-CN"/>
        </w:rPr>
        <w:t>采购需求</w:t>
      </w:r>
    </w:p>
    <w:p w14:paraId="6BA624E3">
      <w:pPr>
        <w:pStyle w:val="2"/>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bookmarkStart w:id="2" w:name="_GoBack"/>
      <w:bookmarkEnd w:id="2"/>
    </w:p>
    <w:p w14:paraId="4464C0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项目要求供应商提供达州市互联网分院SAAS互联网医院平台入驻实施部署服务，与四川省互联网医院监管平台对接，获取对接证明，协助准备相关执业登记材料，配合完成互联网医院执业登记相关工作。协助向上级主管部门申请互联网医院行政审批，并提供全面技术支持，协助完善互联网医院建设内容，提供运维服务等。</w:t>
      </w:r>
    </w:p>
    <w:p w14:paraId="090C3D91">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二、采购内容及技术、服务要求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5744A361">
      <w:pPr>
        <w:pStyle w:val="7"/>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169F6F72">
      <w:pPr>
        <w:pStyle w:val="7"/>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入驻达州市互联网医院SAAS平台服务</w:t>
      </w:r>
    </w:p>
    <w:p w14:paraId="00F88214">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168000.00</w:t>
      </w:r>
    </w:p>
    <w:p w14:paraId="3B93773D">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168000.00</w:t>
      </w:r>
    </w:p>
    <w:p w14:paraId="65A29EB7">
      <w:pPr>
        <w:pStyle w:val="7"/>
        <w:keepNext w:val="0"/>
        <w:keepLines w:val="0"/>
        <w:pageBreakBefore w:val="0"/>
        <w:kinsoku/>
        <w:wordWrap/>
        <w:overflowPunct/>
        <w:topLinePunct w:val="0"/>
        <w:autoSpaceDE/>
        <w:autoSpaceDN/>
        <w:bidi w:val="0"/>
        <w:adjustRightInd/>
        <w:snapToGrid/>
        <w:spacing w:line="520" w:lineRule="exact"/>
        <w:jc w:val="left"/>
        <w:textAlignment w:val="auto"/>
        <w:rPr>
          <w:rFonts w:hint="default" w:ascii="仿宋" w:hAnsi="仿宋" w:eastAsia="仿宋" w:cs="仿宋"/>
          <w:color w:val="FF0000"/>
          <w:kern w:val="2"/>
          <w:sz w:val="28"/>
          <w:szCs w:val="28"/>
          <w:highlight w:val="none"/>
          <w:lang w:val="en-US" w:eastAsia="zh-CN" w:bidi="ar-SA"/>
        </w:rPr>
      </w:pPr>
    </w:p>
    <w:tbl>
      <w:tblPr>
        <w:tblStyle w:val="4"/>
        <w:tblW w:w="9100" w:type="dxa"/>
        <w:tblInd w:w="-5" w:type="dxa"/>
        <w:tblLayout w:type="autofit"/>
        <w:tblCellMar>
          <w:top w:w="0" w:type="dxa"/>
          <w:left w:w="108" w:type="dxa"/>
          <w:bottom w:w="0" w:type="dxa"/>
          <w:right w:w="108" w:type="dxa"/>
        </w:tblCellMar>
      </w:tblPr>
      <w:tblGrid>
        <w:gridCol w:w="532"/>
        <w:gridCol w:w="770"/>
        <w:gridCol w:w="1410"/>
        <w:gridCol w:w="6388"/>
      </w:tblGrid>
      <w:tr w14:paraId="66D86EDB">
        <w:tblPrEx>
          <w:tblCellMar>
            <w:top w:w="0" w:type="dxa"/>
            <w:left w:w="108" w:type="dxa"/>
            <w:bottom w:w="0" w:type="dxa"/>
            <w:right w:w="108" w:type="dxa"/>
          </w:tblCellMar>
        </w:tblPrEx>
        <w:trPr>
          <w:trHeight w:val="70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51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sz w:val="24"/>
                <w:szCs w:val="24"/>
                <w:lang w:bidi="ar"/>
              </w:rPr>
              <w:t>序号</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2A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sz w:val="24"/>
                <w:szCs w:val="24"/>
                <w:lang w:bidi="ar"/>
              </w:rPr>
              <w:t>服务类型</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C9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sz w:val="24"/>
                <w:szCs w:val="24"/>
                <w:lang w:bidi="ar"/>
              </w:rPr>
              <w:t>服务内容</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1C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b/>
                <w:bCs/>
                <w:color w:val="000000"/>
                <w:sz w:val="24"/>
                <w:szCs w:val="24"/>
                <w:lang w:bidi="ar"/>
              </w:rPr>
              <w:t>服务明细</w:t>
            </w:r>
          </w:p>
        </w:tc>
      </w:tr>
      <w:tr w14:paraId="73396CE9">
        <w:tblPrEx>
          <w:tblCellMar>
            <w:top w:w="0" w:type="dxa"/>
            <w:left w:w="108" w:type="dxa"/>
            <w:bottom w:w="0" w:type="dxa"/>
            <w:right w:w="108" w:type="dxa"/>
          </w:tblCellMar>
        </w:tblPrEx>
        <w:trPr>
          <w:trHeight w:val="51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DD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1</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27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技术服务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63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接口对接</w:t>
            </w:r>
          </w:p>
        </w:tc>
        <w:tc>
          <w:tcPr>
            <w:tcW w:w="6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1EA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监管平台、电子健康卡、短信通道、电子签名、院内 his 等系统对接。</w:t>
            </w:r>
          </w:p>
        </w:tc>
      </w:tr>
      <w:tr w14:paraId="424C2C1E">
        <w:tblPrEx>
          <w:tblCellMar>
            <w:top w:w="0" w:type="dxa"/>
            <w:left w:w="108" w:type="dxa"/>
            <w:bottom w:w="0" w:type="dxa"/>
            <w:right w:w="108" w:type="dxa"/>
          </w:tblCellMar>
        </w:tblPrEx>
        <w:trPr>
          <w:trHeight w:val="51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C5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2</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48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5A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接口联调</w:t>
            </w:r>
          </w:p>
        </w:tc>
        <w:tc>
          <w:tcPr>
            <w:tcW w:w="6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E94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监管平台、电子健康卡、短信通道、电子签名、院内 his 等系统接口联调。</w:t>
            </w:r>
          </w:p>
        </w:tc>
      </w:tr>
      <w:tr w14:paraId="7F5C86C2">
        <w:tblPrEx>
          <w:tblCellMar>
            <w:top w:w="0" w:type="dxa"/>
            <w:left w:w="108" w:type="dxa"/>
            <w:bottom w:w="0" w:type="dxa"/>
            <w:right w:w="108" w:type="dxa"/>
          </w:tblCellMar>
        </w:tblPrEx>
        <w:trPr>
          <w:trHeight w:val="44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74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3</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66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E5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账号搭建</w:t>
            </w:r>
          </w:p>
        </w:tc>
        <w:tc>
          <w:tcPr>
            <w:tcW w:w="6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519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 xml:space="preserve">初始化数据，医护账号注册，上线功能搭建，功能与账户配置等。 </w:t>
            </w:r>
          </w:p>
        </w:tc>
      </w:tr>
      <w:tr w14:paraId="5887895B">
        <w:tblPrEx>
          <w:tblCellMar>
            <w:top w:w="0" w:type="dxa"/>
            <w:left w:w="108" w:type="dxa"/>
            <w:bottom w:w="0" w:type="dxa"/>
            <w:right w:w="108" w:type="dxa"/>
          </w:tblCellMar>
        </w:tblPrEx>
        <w:trPr>
          <w:trHeight w:val="44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ED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4</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13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辅助功能</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9A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审批材料</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5AB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行政审批材料、现场汇报材料模版、梳理、整改及提报。</w:t>
            </w:r>
          </w:p>
        </w:tc>
      </w:tr>
      <w:tr w14:paraId="6447ED72">
        <w:tblPrEx>
          <w:tblCellMar>
            <w:top w:w="0" w:type="dxa"/>
            <w:left w:w="108" w:type="dxa"/>
            <w:bottom w:w="0" w:type="dxa"/>
            <w:right w:w="108" w:type="dxa"/>
          </w:tblCellMar>
        </w:tblPrEx>
        <w:trPr>
          <w:trHeight w:val="44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CB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5</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E1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90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现场评审支持</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EEB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现场评审材料、汇报材料、现场软硬件、系统演示等。</w:t>
            </w:r>
          </w:p>
        </w:tc>
      </w:tr>
      <w:tr w14:paraId="6DB0C3E8">
        <w:tblPrEx>
          <w:tblCellMar>
            <w:top w:w="0" w:type="dxa"/>
            <w:left w:w="108" w:type="dxa"/>
            <w:bottom w:w="0" w:type="dxa"/>
            <w:right w:w="108" w:type="dxa"/>
          </w:tblCellMar>
        </w:tblPrEx>
        <w:trPr>
          <w:trHeight w:val="44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E9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6</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28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EE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业务流程建设</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536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业务流程梳理，部门协同界限，运营企划等。</w:t>
            </w:r>
          </w:p>
        </w:tc>
      </w:tr>
      <w:tr w14:paraId="50AF3AB6">
        <w:tblPrEx>
          <w:tblCellMar>
            <w:top w:w="0" w:type="dxa"/>
            <w:left w:w="108" w:type="dxa"/>
            <w:bottom w:w="0" w:type="dxa"/>
            <w:right w:w="108" w:type="dxa"/>
          </w:tblCellMar>
        </w:tblPrEx>
        <w:trPr>
          <w:trHeight w:val="51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FC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7</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7E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培训服务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79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操作培训</w:t>
            </w:r>
          </w:p>
        </w:tc>
        <w:tc>
          <w:tcPr>
            <w:tcW w:w="6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F19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医护端、药房端、院务端及分院后台端等各业务端口操作培训；患者端操作手册等 。</w:t>
            </w:r>
          </w:p>
        </w:tc>
      </w:tr>
      <w:tr w14:paraId="36FE697C">
        <w:tblPrEx>
          <w:tblCellMar>
            <w:top w:w="0" w:type="dxa"/>
            <w:left w:w="108" w:type="dxa"/>
            <w:bottom w:w="0" w:type="dxa"/>
            <w:right w:w="108" w:type="dxa"/>
          </w:tblCellMar>
        </w:tblPrEx>
        <w:trPr>
          <w:trHeight w:val="44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36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8</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15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F9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案例演练</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851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 xml:space="preserve">咨询、复诊、护理上门等功能模块正式运营前实际案例演练，达到各端口业务熟悉。 </w:t>
            </w:r>
          </w:p>
        </w:tc>
      </w:tr>
      <w:tr w14:paraId="41DEF3EE">
        <w:tblPrEx>
          <w:tblCellMar>
            <w:top w:w="0" w:type="dxa"/>
            <w:left w:w="108" w:type="dxa"/>
            <w:bottom w:w="0" w:type="dxa"/>
            <w:right w:w="108" w:type="dxa"/>
          </w:tblCellMar>
        </w:tblPrEx>
        <w:trPr>
          <w:trHeight w:val="51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26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9</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20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运维服务</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50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日常维护</w:t>
            </w:r>
          </w:p>
        </w:tc>
        <w:tc>
          <w:tcPr>
            <w:tcW w:w="6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308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bidi="ar"/>
              </w:rPr>
              <w:t>提供三年运维服务，</w:t>
            </w:r>
            <w:r>
              <w:rPr>
                <w:rFonts w:hint="eastAsia" w:ascii="方正仿宋_GB2312" w:hAnsi="方正仿宋_GB2312" w:eastAsia="方正仿宋_GB2312" w:cs="方正仿宋_GB2312"/>
                <w:color w:val="000000"/>
                <w:sz w:val="24"/>
                <w:szCs w:val="24"/>
                <w:lang w:bidi="ar"/>
              </w:rPr>
              <w:t>供应商7*24 有专人值守处理售后响应，负责系统监控与告警处理，维护系统稳定，出现紧急问题立即远程处理维护，1小时内远程处理不了的问题，2小时内到现场处理。</w:t>
            </w:r>
          </w:p>
        </w:tc>
      </w:tr>
      <w:tr w14:paraId="4DC5AE00">
        <w:tblPrEx>
          <w:tblCellMar>
            <w:top w:w="0" w:type="dxa"/>
            <w:left w:w="108" w:type="dxa"/>
            <w:bottom w:w="0" w:type="dxa"/>
            <w:right w:w="108" w:type="dxa"/>
          </w:tblCellMar>
        </w:tblPrEx>
        <w:trPr>
          <w:trHeight w:val="70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06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10</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E9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E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迭代升级</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68C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按照主管部门最新标准进行系统迭代与升级。</w:t>
            </w:r>
          </w:p>
        </w:tc>
      </w:tr>
      <w:tr w14:paraId="083BEF19">
        <w:tblPrEx>
          <w:tblCellMar>
            <w:top w:w="0" w:type="dxa"/>
            <w:left w:w="108" w:type="dxa"/>
            <w:bottom w:w="0" w:type="dxa"/>
            <w:right w:w="108" w:type="dxa"/>
          </w:tblCellMar>
        </w:tblPrEx>
        <w:trPr>
          <w:trHeight w:val="71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D1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bidi="ar"/>
              </w:rPr>
              <w:t>1</w:t>
            </w:r>
            <w:r>
              <w:rPr>
                <w:rFonts w:hint="eastAsia" w:ascii="方正仿宋_GB2312" w:hAnsi="方正仿宋_GB2312" w:eastAsia="方正仿宋_GB2312" w:cs="方正仿宋_GB2312"/>
                <w:color w:val="000000"/>
                <w:sz w:val="24"/>
                <w:szCs w:val="24"/>
                <w:lang w:val="en-US" w:eastAsia="zh-CN" w:bidi="ar"/>
              </w:rPr>
              <w:t>1</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BA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58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等保测评实施整改</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00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bidi="ar"/>
              </w:rPr>
              <w:t>等保测评工作的实施配合及整改。</w:t>
            </w:r>
          </w:p>
        </w:tc>
      </w:tr>
      <w:tr w14:paraId="2C3D9BBF">
        <w:tblPrEx>
          <w:tblCellMar>
            <w:top w:w="0" w:type="dxa"/>
            <w:left w:w="108" w:type="dxa"/>
            <w:bottom w:w="0" w:type="dxa"/>
            <w:right w:w="108" w:type="dxa"/>
          </w:tblCellMar>
        </w:tblPrEx>
        <w:trPr>
          <w:trHeight w:val="71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CE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p>
          <w:p w14:paraId="2D6CF3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12</w:t>
            </w:r>
          </w:p>
        </w:tc>
        <w:tc>
          <w:tcPr>
            <w:tcW w:w="770" w:type="dxa"/>
            <w:vMerge w:val="restart"/>
            <w:tcBorders>
              <w:top w:val="single" w:color="000000" w:sz="4" w:space="0"/>
              <w:left w:val="single" w:color="000000" w:sz="4" w:space="0"/>
              <w:right w:val="single" w:color="000000" w:sz="4" w:space="0"/>
            </w:tcBorders>
            <w:shd w:val="clear" w:color="auto" w:fill="auto"/>
            <w:noWrap/>
            <w:vAlign w:val="center"/>
          </w:tcPr>
          <w:p w14:paraId="6CAA39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其它</w:t>
            </w:r>
          </w:p>
        </w:tc>
        <w:tc>
          <w:tcPr>
            <w:tcW w:w="1410" w:type="dxa"/>
            <w:vMerge w:val="restart"/>
            <w:tcBorders>
              <w:top w:val="single" w:color="000000" w:sz="4" w:space="0"/>
              <w:left w:val="single" w:color="000000" w:sz="4" w:space="0"/>
              <w:right w:val="single" w:color="000000" w:sz="4" w:space="0"/>
            </w:tcBorders>
            <w:shd w:val="clear" w:color="auto" w:fill="auto"/>
            <w:noWrap/>
            <w:vAlign w:val="center"/>
          </w:tcPr>
          <w:p w14:paraId="1D4A7A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其它服务要求</w:t>
            </w: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DA5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lang w:eastAsia="zh-CN" w:bidi="ar"/>
              </w:rPr>
            </w:pPr>
            <w:r>
              <w:rPr>
                <w:rFonts w:hint="eastAsia" w:ascii="方正仿宋_GB2312" w:hAnsi="方正仿宋_GB2312" w:eastAsia="方正仿宋_GB2312" w:cs="方正仿宋_GB2312"/>
                <w:color w:val="000000"/>
                <w:sz w:val="24"/>
                <w:szCs w:val="24"/>
                <w:lang w:bidi="ar"/>
              </w:rPr>
              <w:t>提供全面技术支持，协助完善互联网医院建设内容</w:t>
            </w:r>
            <w:r>
              <w:rPr>
                <w:rFonts w:hint="eastAsia" w:ascii="方正仿宋_GB2312" w:hAnsi="方正仿宋_GB2312" w:eastAsia="方正仿宋_GB2312" w:cs="方正仿宋_GB2312"/>
                <w:color w:val="000000"/>
                <w:sz w:val="24"/>
                <w:szCs w:val="24"/>
                <w:lang w:eastAsia="zh-CN" w:bidi="ar"/>
              </w:rPr>
              <w:t>。</w:t>
            </w:r>
          </w:p>
        </w:tc>
      </w:tr>
      <w:tr w14:paraId="0149E321">
        <w:tblPrEx>
          <w:tblCellMar>
            <w:top w:w="0" w:type="dxa"/>
            <w:left w:w="108" w:type="dxa"/>
            <w:bottom w:w="0" w:type="dxa"/>
            <w:right w:w="108" w:type="dxa"/>
          </w:tblCellMar>
        </w:tblPrEx>
        <w:trPr>
          <w:trHeight w:val="71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8A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13</w:t>
            </w:r>
          </w:p>
        </w:tc>
        <w:tc>
          <w:tcPr>
            <w:tcW w:w="770" w:type="dxa"/>
            <w:vMerge w:val="continue"/>
            <w:tcBorders>
              <w:left w:val="single" w:color="000000" w:sz="4" w:space="0"/>
              <w:right w:val="single" w:color="000000" w:sz="4" w:space="0"/>
            </w:tcBorders>
            <w:shd w:val="clear" w:color="auto" w:fill="auto"/>
            <w:noWrap/>
            <w:vAlign w:val="center"/>
          </w:tcPr>
          <w:p w14:paraId="0AAABE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10" w:type="dxa"/>
            <w:vMerge w:val="continue"/>
            <w:tcBorders>
              <w:left w:val="single" w:color="000000" w:sz="4" w:space="0"/>
              <w:right w:val="single" w:color="000000" w:sz="4" w:space="0"/>
            </w:tcBorders>
            <w:shd w:val="clear" w:color="auto" w:fill="auto"/>
            <w:noWrap/>
            <w:vAlign w:val="center"/>
          </w:tcPr>
          <w:p w14:paraId="586ED7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bidi="ar"/>
              </w:rPr>
            </w:pP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96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lang w:eastAsia="zh-CN" w:bidi="ar"/>
              </w:rPr>
            </w:pPr>
            <w:r>
              <w:rPr>
                <w:rFonts w:hint="eastAsia" w:ascii="方正仿宋_GB2312" w:hAnsi="方正仿宋_GB2312" w:eastAsia="方正仿宋_GB2312" w:cs="方正仿宋_GB2312"/>
                <w:color w:val="000000"/>
                <w:sz w:val="24"/>
                <w:szCs w:val="24"/>
                <w:lang w:bidi="ar"/>
              </w:rPr>
              <w:t>协助完成达州市互联网分院SAAS互联网平台入驻服务工作，协助医院执业登记工作，全程引导并协助甲方办理互联网医院登记手续，确保顺利通过互联网医院登记</w:t>
            </w:r>
            <w:r>
              <w:rPr>
                <w:rFonts w:hint="eastAsia" w:ascii="方正仿宋_GB2312" w:hAnsi="方正仿宋_GB2312" w:eastAsia="方正仿宋_GB2312" w:cs="方正仿宋_GB2312"/>
                <w:color w:val="000000"/>
                <w:sz w:val="24"/>
                <w:szCs w:val="24"/>
                <w:lang w:eastAsia="zh-CN" w:bidi="ar"/>
              </w:rPr>
              <w:t>。</w:t>
            </w:r>
          </w:p>
        </w:tc>
      </w:tr>
      <w:tr w14:paraId="30FE99D6">
        <w:tblPrEx>
          <w:tblCellMar>
            <w:top w:w="0" w:type="dxa"/>
            <w:left w:w="108" w:type="dxa"/>
            <w:bottom w:w="0" w:type="dxa"/>
            <w:right w:w="108" w:type="dxa"/>
          </w:tblCellMar>
        </w:tblPrEx>
        <w:trPr>
          <w:trHeight w:val="71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F5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14</w:t>
            </w:r>
          </w:p>
        </w:tc>
        <w:tc>
          <w:tcPr>
            <w:tcW w:w="770" w:type="dxa"/>
            <w:vMerge w:val="continue"/>
            <w:tcBorders>
              <w:left w:val="single" w:color="000000" w:sz="4" w:space="0"/>
              <w:right w:val="single" w:color="000000" w:sz="4" w:space="0"/>
            </w:tcBorders>
            <w:shd w:val="clear" w:color="auto" w:fill="auto"/>
            <w:noWrap/>
            <w:vAlign w:val="center"/>
          </w:tcPr>
          <w:p w14:paraId="17BD5A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10" w:type="dxa"/>
            <w:vMerge w:val="continue"/>
            <w:tcBorders>
              <w:left w:val="single" w:color="000000" w:sz="4" w:space="0"/>
              <w:right w:val="single" w:color="000000" w:sz="4" w:space="0"/>
            </w:tcBorders>
            <w:shd w:val="clear" w:color="auto" w:fill="auto"/>
            <w:noWrap/>
            <w:vAlign w:val="center"/>
          </w:tcPr>
          <w:p w14:paraId="35272D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bidi="ar"/>
              </w:rPr>
            </w:pP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0E3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lang w:eastAsia="zh-CN" w:bidi="ar"/>
              </w:rPr>
            </w:pPr>
            <w:r>
              <w:rPr>
                <w:rFonts w:hint="eastAsia" w:ascii="方正仿宋_GB2312" w:hAnsi="方正仿宋_GB2312" w:eastAsia="方正仿宋_GB2312" w:cs="方正仿宋_GB2312"/>
                <w:color w:val="000000"/>
                <w:sz w:val="24"/>
                <w:szCs w:val="24"/>
                <w:lang w:bidi="ar"/>
              </w:rPr>
              <w:t>负责互联网医院运行所需的云服务技术环境搭建，条件具备的情况下，与业务系统无缝对接，为打造线上线下服务闭环提供技术支撑</w:t>
            </w:r>
            <w:r>
              <w:rPr>
                <w:rFonts w:hint="eastAsia" w:ascii="方正仿宋_GB2312" w:hAnsi="方正仿宋_GB2312" w:eastAsia="方正仿宋_GB2312" w:cs="方正仿宋_GB2312"/>
                <w:color w:val="000000"/>
                <w:sz w:val="24"/>
                <w:szCs w:val="24"/>
                <w:lang w:eastAsia="zh-CN" w:bidi="ar"/>
              </w:rPr>
              <w:t>。</w:t>
            </w:r>
          </w:p>
        </w:tc>
      </w:tr>
      <w:tr w14:paraId="63BE710C">
        <w:tblPrEx>
          <w:tblCellMar>
            <w:top w:w="0" w:type="dxa"/>
            <w:left w:w="108" w:type="dxa"/>
            <w:bottom w:w="0" w:type="dxa"/>
            <w:right w:w="108" w:type="dxa"/>
          </w:tblCellMar>
        </w:tblPrEx>
        <w:trPr>
          <w:trHeight w:val="71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61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15</w:t>
            </w:r>
          </w:p>
        </w:tc>
        <w:tc>
          <w:tcPr>
            <w:tcW w:w="770" w:type="dxa"/>
            <w:vMerge w:val="continue"/>
            <w:tcBorders>
              <w:left w:val="single" w:color="000000" w:sz="4" w:space="0"/>
              <w:right w:val="single" w:color="000000" w:sz="4" w:space="0"/>
            </w:tcBorders>
            <w:shd w:val="clear" w:color="auto" w:fill="auto"/>
            <w:noWrap/>
            <w:vAlign w:val="center"/>
          </w:tcPr>
          <w:p w14:paraId="2F8604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10" w:type="dxa"/>
            <w:vMerge w:val="continue"/>
            <w:tcBorders>
              <w:left w:val="single" w:color="000000" w:sz="4" w:space="0"/>
              <w:right w:val="single" w:color="000000" w:sz="4" w:space="0"/>
            </w:tcBorders>
            <w:shd w:val="clear" w:color="auto" w:fill="auto"/>
            <w:noWrap/>
            <w:vAlign w:val="center"/>
          </w:tcPr>
          <w:p w14:paraId="6BDBF9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bidi="ar"/>
              </w:rPr>
            </w:pP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99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lang w:eastAsia="zh-CN" w:bidi="ar"/>
              </w:rPr>
            </w:pPr>
            <w:r>
              <w:rPr>
                <w:rFonts w:hint="eastAsia" w:ascii="方正仿宋_GB2312" w:hAnsi="方正仿宋_GB2312" w:eastAsia="方正仿宋_GB2312" w:cs="方正仿宋_GB2312"/>
                <w:color w:val="000000"/>
                <w:sz w:val="24"/>
                <w:szCs w:val="24"/>
                <w:lang w:bidi="ar"/>
              </w:rPr>
              <w:t>协助对上线医务人员进行软件操作培训，承诺自发出培训要求后48小时内立即指派专人前往指定地点（或远程）进行操作培训，确保医务人员熟练使用软件系统</w:t>
            </w:r>
            <w:r>
              <w:rPr>
                <w:rFonts w:hint="eastAsia" w:ascii="方正仿宋_GB2312" w:hAnsi="方正仿宋_GB2312" w:eastAsia="方正仿宋_GB2312" w:cs="方正仿宋_GB2312"/>
                <w:color w:val="000000"/>
                <w:sz w:val="24"/>
                <w:szCs w:val="24"/>
                <w:lang w:eastAsia="zh-CN" w:bidi="ar"/>
              </w:rPr>
              <w:t>。</w:t>
            </w:r>
          </w:p>
        </w:tc>
      </w:tr>
      <w:tr w14:paraId="520CEFBB">
        <w:tblPrEx>
          <w:tblCellMar>
            <w:top w:w="0" w:type="dxa"/>
            <w:left w:w="108" w:type="dxa"/>
            <w:bottom w:w="0" w:type="dxa"/>
            <w:right w:w="108" w:type="dxa"/>
          </w:tblCellMar>
        </w:tblPrEx>
        <w:trPr>
          <w:trHeight w:val="711"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1D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方正仿宋_GB2312" w:hAnsi="方正仿宋_GB2312" w:eastAsia="方正仿宋_GB2312" w:cs="方正仿宋_GB2312"/>
                <w:color w:val="000000"/>
                <w:sz w:val="24"/>
                <w:szCs w:val="24"/>
                <w:lang w:val="en-US" w:eastAsia="zh-CN" w:bidi="ar"/>
              </w:rPr>
            </w:pPr>
            <w:r>
              <w:rPr>
                <w:rFonts w:hint="eastAsia" w:ascii="方正仿宋_GB2312" w:hAnsi="方正仿宋_GB2312" w:eastAsia="方正仿宋_GB2312" w:cs="方正仿宋_GB2312"/>
                <w:color w:val="000000"/>
                <w:sz w:val="24"/>
                <w:szCs w:val="24"/>
                <w:lang w:val="en-US" w:eastAsia="zh-CN" w:bidi="ar"/>
              </w:rPr>
              <w:t>16</w:t>
            </w:r>
          </w:p>
        </w:tc>
        <w:tc>
          <w:tcPr>
            <w:tcW w:w="770" w:type="dxa"/>
            <w:vMerge w:val="continue"/>
            <w:tcBorders>
              <w:left w:val="single" w:color="000000" w:sz="4" w:space="0"/>
              <w:bottom w:val="single" w:color="000000" w:sz="4" w:space="0"/>
              <w:right w:val="single" w:color="000000" w:sz="4" w:space="0"/>
            </w:tcBorders>
            <w:shd w:val="clear" w:color="auto" w:fill="auto"/>
            <w:noWrap/>
            <w:vAlign w:val="center"/>
          </w:tcPr>
          <w:p w14:paraId="5D83AE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10" w:type="dxa"/>
            <w:vMerge w:val="continue"/>
            <w:tcBorders>
              <w:left w:val="single" w:color="000000" w:sz="4" w:space="0"/>
              <w:bottom w:val="single" w:color="000000" w:sz="4" w:space="0"/>
              <w:right w:val="single" w:color="000000" w:sz="4" w:space="0"/>
            </w:tcBorders>
            <w:shd w:val="clear" w:color="auto" w:fill="auto"/>
            <w:noWrap/>
            <w:vAlign w:val="center"/>
          </w:tcPr>
          <w:p w14:paraId="07FBED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sz w:val="24"/>
                <w:szCs w:val="24"/>
                <w:lang w:val="en-US" w:eastAsia="zh-CN" w:bidi="ar"/>
              </w:rPr>
            </w:pPr>
          </w:p>
        </w:tc>
        <w:tc>
          <w:tcPr>
            <w:tcW w:w="6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9D7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color w:val="000000"/>
                <w:sz w:val="24"/>
                <w:szCs w:val="24"/>
                <w:lang w:eastAsia="zh-CN" w:bidi="ar"/>
              </w:rPr>
            </w:pPr>
            <w:r>
              <w:rPr>
                <w:rFonts w:hint="eastAsia" w:ascii="方正仿宋_GB2312" w:hAnsi="方正仿宋_GB2312" w:eastAsia="方正仿宋_GB2312" w:cs="方正仿宋_GB2312"/>
                <w:color w:val="000000"/>
                <w:sz w:val="24"/>
                <w:szCs w:val="24"/>
                <w:lang w:bidi="ar"/>
              </w:rPr>
              <w:t>全面保障互联网医院数据安全，对患者数据实施加密管理</w:t>
            </w:r>
            <w:r>
              <w:rPr>
                <w:rFonts w:hint="eastAsia" w:ascii="方正仿宋_GB2312" w:hAnsi="方正仿宋_GB2312" w:eastAsia="方正仿宋_GB2312" w:cs="方正仿宋_GB2312"/>
                <w:color w:val="000000"/>
                <w:sz w:val="24"/>
                <w:szCs w:val="24"/>
                <w:lang w:eastAsia="zh-CN" w:bidi="ar"/>
              </w:rPr>
              <w:t>，</w:t>
            </w:r>
            <w:r>
              <w:rPr>
                <w:rFonts w:hint="eastAsia" w:ascii="方正仿宋_GB2312" w:hAnsi="方正仿宋_GB2312" w:eastAsia="方正仿宋_GB2312" w:cs="方正仿宋_GB2312"/>
                <w:color w:val="000000"/>
                <w:sz w:val="24"/>
                <w:szCs w:val="24"/>
                <w:lang w:bidi="ar"/>
              </w:rPr>
              <w:t>互联网医院达到三级等保测评标准</w:t>
            </w:r>
            <w:r>
              <w:rPr>
                <w:rFonts w:hint="eastAsia" w:ascii="方正仿宋_GB2312" w:hAnsi="方正仿宋_GB2312" w:eastAsia="方正仿宋_GB2312" w:cs="方正仿宋_GB2312"/>
                <w:color w:val="000000"/>
                <w:sz w:val="24"/>
                <w:szCs w:val="24"/>
                <w:lang w:eastAsia="zh-CN" w:bidi="ar"/>
              </w:rPr>
              <w:t>。</w:t>
            </w:r>
          </w:p>
        </w:tc>
      </w:tr>
    </w:tbl>
    <w:p w14:paraId="253C8672">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三、商务要求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此节内容供应商在商务</w:t>
      </w:r>
      <w:r>
        <w:rPr>
          <w:rFonts w:hint="eastAsia" w:ascii="仿宋" w:hAnsi="仿宋" w:eastAsia="仿宋" w:cs="仿宋"/>
          <w:b/>
          <w:bCs/>
          <w:color w:val="auto"/>
          <w:sz w:val="28"/>
          <w:szCs w:val="28"/>
          <w:lang w:eastAsia="zh-CN"/>
        </w:rPr>
        <w:t>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1DF7F81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（一）交货时间</w:t>
      </w:r>
    </w:p>
    <w:p w14:paraId="181429DF">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本项目合同履约期限为双方签字盖章生效之日起</w:t>
      </w:r>
      <w:r>
        <w:rPr>
          <w:rFonts w:hint="eastAsia" w:ascii="仿宋" w:hAnsi="仿宋" w:eastAsia="仿宋" w:cs="仿宋"/>
          <w:color w:val="FF0000"/>
          <w:sz w:val="28"/>
          <w:szCs w:val="28"/>
          <w:lang w:val="en-US" w:eastAsia="zh-CN"/>
        </w:rPr>
        <w:t>60个工作日内</w:t>
      </w:r>
      <w:r>
        <w:rPr>
          <w:rFonts w:hint="eastAsia" w:ascii="仿宋" w:hAnsi="仿宋" w:eastAsia="仿宋" w:cs="仿宋"/>
          <w:color w:val="auto"/>
          <w:sz w:val="28"/>
          <w:szCs w:val="28"/>
          <w:lang w:val="en-US" w:eastAsia="zh-CN"/>
        </w:rPr>
        <w:t>完成本次合同所涉及的建设内容并确保采购人正常使用，并提供三年维保服务，合同履行完毕。</w:t>
      </w:r>
    </w:p>
    <w:p w14:paraId="55D5DA92">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（二）交货地点：大竹县人民医院院内指定地点。货物交付采购人之前，货物的损毁、灭失风险由供应商承担。</w:t>
      </w:r>
    </w:p>
    <w:p w14:paraId="3A653F79">
      <w:pPr>
        <w:pStyle w:val="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right="0" w:righ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（三）支付方式：分期付款。</w:t>
      </w:r>
    </w:p>
    <w:p w14:paraId="13EF8CA9">
      <w:pPr>
        <w:pStyle w:val="6"/>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（四）付款进度安排</w:t>
      </w:r>
    </w:p>
    <w:p w14:paraId="2CA58DF9">
      <w:pPr>
        <w:pStyle w:val="8"/>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本项目入驻成功，互联网医院使用正常，供应商提供的平台使用培训合格，通过院内验收后，供应商开具</w:t>
      </w:r>
      <w:r>
        <w:rPr>
          <w:rFonts w:hint="eastAsia" w:ascii="仿宋" w:hAnsi="仿宋" w:eastAsia="仿宋" w:cs="仿宋"/>
          <w:color w:val="auto"/>
          <w:sz w:val="28"/>
          <w:szCs w:val="28"/>
          <w:highlight w:val="none"/>
          <w:lang w:val="en-US" w:eastAsia="zh-CN"/>
        </w:rPr>
        <w:t>合法有效</w:t>
      </w:r>
      <w:r>
        <w:rPr>
          <w:rFonts w:hint="eastAsia" w:ascii="仿宋" w:hAnsi="仿宋" w:eastAsia="仿宋" w:cs="仿宋"/>
          <w:color w:val="auto"/>
          <w:sz w:val="28"/>
          <w:szCs w:val="28"/>
          <w:highlight w:val="none"/>
        </w:rPr>
        <w:t>发票后30日内，支付合同总金额的35%。</w:t>
      </w:r>
    </w:p>
    <w:p w14:paraId="77582CDC">
      <w:pPr>
        <w:pStyle w:val="8"/>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验收通过后，平台使用正常满一年，供应商开具</w:t>
      </w:r>
      <w:r>
        <w:rPr>
          <w:rFonts w:hint="eastAsia" w:ascii="仿宋" w:hAnsi="仿宋" w:eastAsia="仿宋" w:cs="仿宋"/>
          <w:color w:val="auto"/>
          <w:sz w:val="28"/>
          <w:szCs w:val="28"/>
          <w:highlight w:val="none"/>
          <w:lang w:val="en-US" w:eastAsia="zh-CN"/>
        </w:rPr>
        <w:t>合法有效</w:t>
      </w:r>
      <w:r>
        <w:rPr>
          <w:rFonts w:hint="eastAsia" w:ascii="仿宋" w:hAnsi="仿宋" w:eastAsia="仿宋" w:cs="仿宋"/>
          <w:color w:val="auto"/>
          <w:sz w:val="28"/>
          <w:szCs w:val="28"/>
          <w:highlight w:val="none"/>
        </w:rPr>
        <w:t>发票后30日内，支付合同总金额的35%。</w:t>
      </w:r>
    </w:p>
    <w:p w14:paraId="4D46645A">
      <w:pPr>
        <w:pStyle w:val="8"/>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验收通过后，平台使用正常满二年，供应商开具</w:t>
      </w:r>
      <w:r>
        <w:rPr>
          <w:rFonts w:hint="eastAsia" w:ascii="仿宋" w:hAnsi="仿宋" w:eastAsia="仿宋" w:cs="仿宋"/>
          <w:color w:val="auto"/>
          <w:sz w:val="28"/>
          <w:szCs w:val="28"/>
          <w:highlight w:val="none"/>
          <w:lang w:val="en-US" w:eastAsia="zh-CN"/>
        </w:rPr>
        <w:t>合法有效</w:t>
      </w:r>
      <w:r>
        <w:rPr>
          <w:rFonts w:hint="eastAsia" w:ascii="仿宋" w:hAnsi="仿宋" w:eastAsia="仿宋" w:cs="仿宋"/>
          <w:color w:val="auto"/>
          <w:sz w:val="28"/>
          <w:szCs w:val="28"/>
          <w:highlight w:val="none"/>
        </w:rPr>
        <w:t>发票后30日内，支付合同总金额的30%。</w:t>
      </w:r>
    </w:p>
    <w:p w14:paraId="76CC2B3D">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（五）验收方式和标准</w:t>
      </w:r>
    </w:p>
    <w:p w14:paraId="405915E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2"/>
          <w:sz w:val="28"/>
          <w:szCs w:val="28"/>
          <w:lang w:val="en-US" w:eastAsia="zh-CN" w:bidi="ar-SA"/>
        </w:rPr>
        <w:t>1、验收方式：由采购人组织验收，供应商配合、协助提供验收所需资料及功能演示，</w:t>
      </w:r>
      <w:r>
        <w:rPr>
          <w:rFonts w:hint="eastAsia" w:ascii="仿宋" w:hAnsi="仿宋" w:eastAsia="仿宋" w:cs="仿宋"/>
          <w:kern w:val="0"/>
          <w:sz w:val="28"/>
          <w:szCs w:val="28"/>
          <w:lang w:val="en-US" w:eastAsia="zh-CN"/>
        </w:rPr>
        <w:t>按照《大竹县人民医院采购管理制度》要求</w:t>
      </w:r>
      <w:r>
        <w:rPr>
          <w:rFonts w:hint="eastAsia" w:ascii="仿宋" w:hAnsi="仿宋" w:eastAsia="仿宋" w:cs="仿宋"/>
          <w:kern w:val="0"/>
          <w:sz w:val="28"/>
          <w:szCs w:val="28"/>
        </w:rPr>
        <w:t>进行验收。</w:t>
      </w:r>
    </w:p>
    <w:p w14:paraId="2B98E3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atLeast"/>
        <w:ind w:right="0"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2、验收标准：</w:t>
      </w:r>
      <w:r>
        <w:rPr>
          <w:rFonts w:hint="eastAsia" w:ascii="仿宋" w:hAnsi="仿宋" w:eastAsia="仿宋" w:cs="仿宋"/>
          <w:color w:val="auto"/>
          <w:kern w:val="2"/>
          <w:sz w:val="28"/>
          <w:szCs w:val="28"/>
          <w:highlight w:val="none"/>
        </w:rPr>
        <w:t>国家相关法律法规、行业标准、技术规范；</w:t>
      </w:r>
      <w:r>
        <w:rPr>
          <w:rFonts w:hint="eastAsia" w:ascii="仿宋" w:hAnsi="仿宋" w:eastAsia="仿宋" w:cs="仿宋"/>
          <w:kern w:val="2"/>
          <w:sz w:val="28"/>
          <w:szCs w:val="28"/>
          <w:lang w:val="en-US" w:eastAsia="zh-CN" w:bidi="ar-SA"/>
        </w:rPr>
        <w:t>采购文件相关技术、服务要求、中标供应商投标文件相关响应内容；中标产品生产厂家出具的产品说明书、技术白皮书、医疗器械注册证或备案凭证等技术资料(如涉及)；如验收时双方对技术指标、质量要求等约定标准有相互抵触或异议的事项,双方须按照国家相关规定及采购文件相关技术、服务要求、中标供应商投标文件相关响应内容中质量要求和技术指标较严格的原则确定该事项的标准并进行验收。</w:t>
      </w:r>
    </w:p>
    <w:p w14:paraId="6F02A79F">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（六）货物包装、运输要求</w:t>
      </w:r>
    </w:p>
    <w:p w14:paraId="371F6385">
      <w:pPr>
        <w:pStyle w:val="2"/>
        <w:keepNext w:val="0"/>
        <w:keepLines w:val="0"/>
        <w:pageBreakBefore w:val="0"/>
        <w:widowControl w:val="0"/>
        <w:kinsoku/>
        <w:wordWrap/>
        <w:overflowPunct/>
        <w:topLinePunct w:val="0"/>
        <w:autoSpaceDE/>
        <w:autoSpaceDN/>
        <w:bidi w:val="0"/>
        <w:adjustRightInd/>
        <w:snapToGrid/>
        <w:spacing w:after="0" w:line="520" w:lineRule="atLeas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73EF04C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4A11B515">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（七）违约责任</w:t>
      </w:r>
    </w:p>
    <w:p w14:paraId="7E9FEC0A">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必须严格按照国家相关法律法规和本采购文件要求及供应商提交的响应文件约定履行合同，按时全面履行本项目的各项义务，供应商不履行本项目义务或瑕疵履行本项目义务或延迟履行本项目义务或履行合同义务不符合合同约定的，则供应商违约。</w:t>
      </w:r>
    </w:p>
    <w:p w14:paraId="0AACBFC1">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中华人民共和国民法典》合同编的法律规定，采购人有权解除合同，并要求供应商承担相应违约责任并支付相应金额的违约金。采购人有权直接从供应商的合同货款中扣除违约金，供应商因违约行为偿付的违约金不足以弥补采购人损失的，还应按采购人损失尚未弥补的部分，支付赔偿金全额赔偿采购人损失。</w:t>
      </w:r>
    </w:p>
    <w:p w14:paraId="406BCBF0">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有下列情形之一行为视为供应商违约，采购人有权按照以下条款要求供应商承担违约金及违约责任：</w:t>
      </w:r>
    </w:p>
    <w:p w14:paraId="70AA2EF4">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（1）项目履行期限内，供应商明确表示或者以自己的行为表明不履行本项目合同的主要义务，则供应商违约，供应商应向采购人缴纳合同总价款20%的违约金，同时采购人有权解除合同。</w:t>
      </w:r>
    </w:p>
    <w:p w14:paraId="440DCD01">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（2）供应商提供的货物或服务根本违约（例如提供假冒伪劣产品或以次充好），致使合同的目的不能实现的，供应商应向采购人缴纳合同总价款20%的违约金，同时采购人有权解除合同。</w:t>
      </w:r>
    </w:p>
    <w:p w14:paraId="33664E3B">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供应商延迟履约，即供应商应向采购人提供的货物及服务未按合同约定时间达成的，供应商每有一次违约行为，供应商应向采购人支付违约金1000元/次，供应商经采购人催告后应继续按合同约定履行合同。若供应商一年内5次延迟履约，则供应商应向采购人支付合同总价款5%的违约金，同时采购人有权解除合同。</w:t>
      </w:r>
    </w:p>
    <w:p w14:paraId="44A075B8">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所供的货物或服务瑕疵违约，与采购文件要求或采购人采购需求不符的，供应商应承担修理、重作、更换、退货、减少价款或者报酬等违约责任。同时供应商每有一次违约行为，供应商应向采购人支付违约金1000元/次，供应商出现5次本款所列违约行为，供应商应向采购人支付合同总价款5%的违约金，同时采购人有权解除合同。经采购人同意后，供应商更正瑕疵违约行为后，可以继续按合同约定履行合同。</w:t>
      </w:r>
    </w:p>
    <w:p w14:paraId="22A5C3F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2、合同履行过程中因供应商及员工原因造成的一切安全事故、人身伤亡、经济损失均由供应商自行负责承担，其责任与采购人无关。</w:t>
      </w:r>
      <w:bookmarkStart w:id="0" w:name="★4.4_违约处理"/>
      <w:bookmarkEnd w:id="0"/>
      <w:r>
        <w:rPr>
          <w:rFonts w:hint="eastAsia" w:ascii="仿宋" w:hAnsi="仿宋" w:eastAsia="仿宋" w:cs="仿宋"/>
          <w:sz w:val="28"/>
          <w:szCs w:val="28"/>
          <w:lang w:val="en-US" w:eastAsia="zh-CN"/>
        </w:rPr>
        <w:t>如因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29C08C67">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lang w:val="en-US" w:eastAsia="zh-CN"/>
        </w:rPr>
      </w:pPr>
      <w:r>
        <w:rPr>
          <w:rFonts w:hint="eastAsia" w:ascii="仿宋" w:hAnsi="仿宋" w:eastAsia="仿宋" w:cs="仿宋"/>
          <w:sz w:val="28"/>
          <w:szCs w:val="28"/>
          <w:lang w:val="en-US" w:eastAsia="zh-CN"/>
        </w:rPr>
        <w:t>3、</w:t>
      </w:r>
      <w:r>
        <w:rPr>
          <w:rFonts w:hint="eastAsia" w:ascii="仿宋" w:hAnsi="仿宋" w:eastAsia="仿宋" w:cs="仿宋"/>
          <w:color w:val="auto"/>
          <w:sz w:val="28"/>
          <w:szCs w:val="28"/>
          <w:lang w:val="en-US" w:eastAsia="zh-CN"/>
        </w:rPr>
        <w:t>其他条款</w:t>
      </w:r>
      <w:r>
        <w:rPr>
          <w:rFonts w:hint="eastAsia" w:ascii="仿宋" w:hAnsi="仿宋" w:eastAsia="仿宋" w:cs="仿宋"/>
          <w:sz w:val="28"/>
          <w:szCs w:val="28"/>
          <w:highlight w:val="none"/>
          <w:lang w:val="en-US" w:eastAsia="zh-CN"/>
        </w:rPr>
        <w:t>按合同约定执行。</w:t>
      </w:r>
    </w:p>
    <w:p w14:paraId="6A0592A9">
      <w:pPr>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四、其他要求</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此节内容供应商在</w:t>
      </w:r>
      <w:r>
        <w:rPr>
          <w:rFonts w:hint="eastAsia" w:ascii="仿宋" w:hAnsi="仿宋" w:eastAsia="仿宋" w:cs="仿宋"/>
          <w:b/>
          <w:bCs/>
          <w:color w:val="auto"/>
          <w:sz w:val="28"/>
          <w:szCs w:val="28"/>
          <w:lang w:eastAsia="zh-CN"/>
        </w:rPr>
        <w:t>技术、服务及其他要求应答表</w:t>
      </w:r>
      <w:r>
        <w:rPr>
          <w:rFonts w:hint="eastAsia" w:ascii="仿宋" w:hAnsi="仿宋" w:eastAsia="仿宋" w:cs="仿宋"/>
          <w:b/>
          <w:bCs/>
          <w:color w:val="auto"/>
          <w:sz w:val="28"/>
          <w:szCs w:val="28"/>
          <w:lang w:val="en-US" w:eastAsia="zh-CN"/>
        </w:rPr>
        <w:t>中响应</w:t>
      </w:r>
      <w:r>
        <w:rPr>
          <w:rFonts w:hint="eastAsia" w:ascii="仿宋" w:hAnsi="仿宋" w:eastAsia="仿宋" w:cs="仿宋"/>
          <w:b/>
          <w:bCs/>
          <w:color w:val="auto"/>
          <w:sz w:val="28"/>
          <w:szCs w:val="28"/>
          <w:lang w:eastAsia="zh-CN"/>
        </w:rPr>
        <w:t>）</w:t>
      </w:r>
    </w:p>
    <w:p w14:paraId="64249987">
      <w:pPr>
        <w:pStyle w:val="6"/>
        <w:spacing w:line="560" w:lineRule="exact"/>
        <w:ind w:firstLine="56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1、本章的所有内容为本次采购项目的实质性要求，不允许有负偏离。</w:t>
      </w:r>
    </w:p>
    <w:p w14:paraId="1021056B">
      <w:pPr>
        <w:pStyle w:val="6"/>
        <w:spacing w:line="560" w:lineRule="exact"/>
        <w:ind w:firstLine="560"/>
        <w:rPr>
          <w:rFonts w:hint="eastAsia" w:ascii="黑体" w:hAnsi="黑体" w:eastAsia="黑体" w:cs="黑体"/>
          <w:b/>
          <w:sz w:val="28"/>
          <w:szCs w:val="28"/>
          <w:highlight w:val="none"/>
        </w:rPr>
      </w:pPr>
      <w:r>
        <w:rPr>
          <w:rFonts w:hint="eastAsia" w:ascii="仿宋" w:hAnsi="仿宋" w:eastAsia="仿宋" w:cs="仿宋"/>
          <w:sz w:val="28"/>
          <w:szCs w:val="28"/>
          <w:highlight w:val="none"/>
          <w:lang w:val="en-US" w:eastAsia="zh-CN"/>
        </w:rPr>
        <w:t>2、本章内容中有明确的证明材料要求的应提供对应证明材料，否则视为负偏离。</w:t>
      </w:r>
      <w:bookmarkStart w:id="1" w:name="★4.4 违约处理"/>
      <w:bookmarkEnd w:id="1"/>
    </w:p>
    <w:p w14:paraId="4AF0628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A79950-326B-46EB-89FA-32C99EF7B4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69C314A-1C1F-4552-A421-E631B89CFB51}"/>
  </w:font>
  <w:font w:name="仿宋">
    <w:panose1 w:val="02010609060101010101"/>
    <w:charset w:val="86"/>
    <w:family w:val="modern"/>
    <w:pitch w:val="default"/>
    <w:sig w:usb0="800002BF" w:usb1="38CF7CFA" w:usb2="00000016" w:usb3="00000000" w:csb0="00040001" w:csb1="00000000"/>
    <w:embedRegular r:id="rId3" w:fontKey="{B5490DDF-AE90-4ABE-9174-55FCA70E9FD0}"/>
  </w:font>
  <w:font w:name="方正仿宋_GB2312">
    <w:panose1 w:val="02000000000000000000"/>
    <w:charset w:val="86"/>
    <w:family w:val="auto"/>
    <w:pitch w:val="default"/>
    <w:sig w:usb0="A00002BF" w:usb1="184F6CFA" w:usb2="00000012" w:usb3="00000000" w:csb0="00040001" w:csb1="00000000"/>
    <w:embedRegular r:id="rId4" w:fontKey="{9359C4E1-A588-4D3C-B851-899DE02354B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C2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6">
    <w:name w:val="List Paragraph"/>
    <w:basedOn w:val="1"/>
    <w:autoRedefine/>
    <w:qFormat/>
    <w:uiPriority w:val="0"/>
    <w:pPr>
      <w:ind w:firstLine="420" w:firstLineChars="200"/>
    </w:pPr>
    <w:rPr>
      <w:szCs w:val="24"/>
    </w:r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正文_1"/>
    <w:next w:val="9"/>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9">
    <w:name w:val="正文_2"/>
    <w:next w:val="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标题 5（有编号）（绿盟科技）"/>
    <w:basedOn w:val="9"/>
    <w:next w:val="1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1">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2026-03-26T01:47:51Z</dcterms:created>
  <dc:creator>Administrator</dc:creator>
  <cp:lastModifiedBy>WPS_1774228208</cp:lastModifiedBy>
  <dcterms:modified xsi:type="dcterms:W3CDTF">2026-03-26T01:48:17Z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eyJoZGlkIjoiY2Y2MTBmZGIzOTYwMzFkMDI1MjVlNDdhYjY3NDk1ZTAiLCJ1c2VySWQiOiIxODE0OTU1NzMzIn0=</vt:lpwstr>
  </property>
  <property fmtid="{D5CDD505-2E9C-101B-9397-08002B2CF9AE}" pid="4" name="ICV">
    <vt:lpwstr>93B609EDC63A42879F40EC5B654B2626_12</vt:lpwstr>
  </property>
</Properties>
</file>