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35F30">
      <w:pPr>
        <w:pStyle w:val="12"/>
        <w:spacing w:line="560" w:lineRule="exact"/>
        <w:ind w:firstLine="562"/>
        <w:jc w:val="center"/>
        <w:rPr>
          <w:rFonts w:hint="default" w:ascii="仿宋" w:hAnsi="仿宋" w:eastAsia="仿宋"/>
          <w:b/>
          <w:sz w:val="28"/>
          <w:szCs w:val="28"/>
          <w:lang w:val="en-US"/>
        </w:rPr>
      </w:pPr>
      <w:r>
        <w:rPr>
          <w:rFonts w:hint="eastAsia" w:ascii="黑体" w:hAnsi="黑体" w:eastAsia="黑体" w:cs="黑体"/>
          <w:b/>
          <w:bCs/>
          <w:kern w:val="0"/>
          <w:sz w:val="28"/>
          <w:szCs w:val="28"/>
          <w:highlight w:val="none"/>
          <w:lang w:val="en-US" w:eastAsia="zh-CN" w:bidi="ar"/>
        </w:rPr>
        <w:t>大竹县人民医院医学检验科微量元素检测仪及配套试剂耗材院内自主采购项目采购需求</w:t>
      </w:r>
    </w:p>
    <w:p w14:paraId="5C380E3D">
      <w:pPr>
        <w:pStyle w:val="14"/>
        <w:keepNext w:val="0"/>
        <w:keepLines w:val="0"/>
        <w:pageBreakBefore w:val="0"/>
        <w:numPr>
          <w:ilvl w:val="0"/>
          <w:numId w:val="2"/>
        </w:numPr>
        <w:kinsoku/>
        <w:wordWrap/>
        <w:overflowPunct/>
        <w:topLinePunct w:val="0"/>
        <w:bidi w:val="0"/>
        <w:spacing w:line="560" w:lineRule="exact"/>
        <w:ind w:firstLine="420" w:firstLineChars="200"/>
        <w:rPr>
          <w:rFonts w:hint="eastAsia" w:ascii="仿宋" w:hAnsi="仿宋" w:eastAsia="仿宋" w:cs="仿宋"/>
          <w:b/>
          <w:color w:val="auto"/>
          <w:sz w:val="28"/>
          <w:szCs w:val="28"/>
          <w:lang w:eastAsia="zh-CN"/>
        </w:rPr>
      </w:pPr>
      <w:r>
        <w:rPr>
          <w:rFonts w:hint="eastAsia"/>
        </w:rPr>
        <w:t xml:space="preserve"> </w:t>
      </w:r>
      <w:r>
        <w:rPr>
          <w:rFonts w:hint="eastAsia" w:ascii="仿宋" w:hAnsi="仿宋" w:eastAsia="仿宋" w:cs="仿宋"/>
          <w:b/>
          <w:color w:val="auto"/>
          <w:sz w:val="28"/>
          <w:szCs w:val="28"/>
        </w:rPr>
        <w:t xml:space="preserve">项目概述 </w:t>
      </w:r>
    </w:p>
    <w:p w14:paraId="31DFA0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301" w:firstLineChars="200"/>
        <w:jc w:val="left"/>
        <w:textAlignment w:val="auto"/>
        <w:rPr>
          <w:rFonts w:hint="default"/>
          <w:lang w:val="en-US" w:eastAsia="zh-CN"/>
        </w:rPr>
      </w:pPr>
      <w:r>
        <w:rPr>
          <w:rFonts w:hint="eastAsia"/>
          <w:lang w:val="en-US" w:eastAsia="zh-CN"/>
        </w:rPr>
        <w:t xml:space="preserve">     </w:t>
      </w:r>
      <w:r>
        <w:rPr>
          <w:rStyle w:val="9"/>
          <w:rFonts w:hint="eastAsia" w:ascii="仿宋" w:hAnsi="仿宋" w:eastAsia="仿宋" w:cs="仿宋"/>
          <w:b w:val="0"/>
          <w:bCs w:val="0"/>
          <w:i w:val="0"/>
          <w:iCs w:val="0"/>
          <w:caps w:val="0"/>
          <w:color w:val="222222"/>
          <w:spacing w:val="0"/>
          <w:sz w:val="28"/>
          <w:szCs w:val="28"/>
          <w:lang w:val="en-US" w:eastAsia="zh-CN"/>
        </w:rPr>
        <w:t xml:space="preserve"> 本项目采购微量元素检测仪一套</w:t>
      </w:r>
      <w:r>
        <w:rPr>
          <w:rFonts w:hint="eastAsia" w:ascii="仿宋" w:hAnsi="仿宋" w:eastAsia="仿宋" w:cs="仿宋"/>
          <w:i w:val="0"/>
          <w:iCs w:val="0"/>
          <w:caps w:val="0"/>
          <w:color w:val="333333"/>
          <w:spacing w:val="0"/>
          <w:sz w:val="24"/>
          <w:szCs w:val="24"/>
          <w:shd w:val="clear" w:fill="FFFFFF"/>
          <w:lang w:val="en-US" w:eastAsia="zh-CN"/>
        </w:rPr>
        <w:t>，</w:t>
      </w:r>
      <w:r>
        <w:rPr>
          <w:rStyle w:val="9"/>
          <w:rFonts w:hint="eastAsia" w:ascii="仿宋" w:hAnsi="仿宋" w:eastAsia="仿宋" w:cs="仿宋"/>
          <w:b w:val="0"/>
          <w:bCs w:val="0"/>
          <w:i w:val="0"/>
          <w:iCs w:val="0"/>
          <w:caps w:val="0"/>
          <w:color w:val="222222"/>
          <w:spacing w:val="0"/>
          <w:sz w:val="28"/>
          <w:szCs w:val="28"/>
          <w:lang w:val="en-US" w:eastAsia="zh-CN"/>
        </w:rPr>
        <w:t>用于体外测量人全血和血清中的微量元素含量，为临床诊断、疾病预防及健康评估提供准确的检测数据支持。该项目配套试剂耗材应与仪器型号相匹配。</w:t>
      </w:r>
      <w:r>
        <w:rPr>
          <w:rStyle w:val="9"/>
          <w:rFonts w:hint="eastAsia" w:ascii="仿宋" w:hAnsi="仿宋" w:eastAsia="仿宋" w:cs="仿宋"/>
          <w:b w:val="0"/>
          <w:bCs w:val="0"/>
          <w:i w:val="0"/>
          <w:iCs w:val="0"/>
          <w:caps w:val="0"/>
          <w:color w:val="222222"/>
          <w:spacing w:val="0"/>
          <w:sz w:val="28"/>
          <w:szCs w:val="28"/>
          <w:lang w:val="en-US" w:eastAsia="zh-CN"/>
        </w:rPr>
        <w:tab/>
      </w:r>
      <w:r>
        <w:rPr>
          <w:rStyle w:val="9"/>
          <w:rFonts w:hint="eastAsia" w:ascii="仿宋" w:hAnsi="仿宋" w:eastAsia="仿宋" w:cs="仿宋"/>
          <w:b w:val="0"/>
          <w:bCs w:val="0"/>
          <w:i w:val="0"/>
          <w:iCs w:val="0"/>
          <w:caps w:val="0"/>
          <w:color w:val="222222"/>
          <w:spacing w:val="0"/>
          <w:sz w:val="28"/>
          <w:szCs w:val="28"/>
          <w:lang w:val="en-US" w:eastAsia="zh-CN"/>
        </w:rPr>
        <w:tab/>
      </w:r>
    </w:p>
    <w:p w14:paraId="090C3D91">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二、采购内容及技术要求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5744A361">
      <w:pPr>
        <w:pStyle w:val="13"/>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采购包一：</w:t>
      </w:r>
    </w:p>
    <w:p w14:paraId="069654F8">
      <w:pPr>
        <w:pStyle w:val="13"/>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采购包一预算金额:</w:t>
      </w:r>
      <w:r>
        <w:rPr>
          <w:rFonts w:hint="eastAsia" w:ascii="仿宋" w:hAnsi="仿宋" w:eastAsia="仿宋" w:cs="仿宋"/>
          <w:color w:val="FF0000"/>
          <w:kern w:val="2"/>
          <w:sz w:val="28"/>
          <w:szCs w:val="28"/>
          <w:highlight w:val="none"/>
          <w:lang w:val="en-US" w:eastAsia="zh-CN" w:bidi="ar-SA"/>
        </w:rPr>
        <w:t>227997.50元</w:t>
      </w:r>
    </w:p>
    <w:p w14:paraId="0EBA0B39">
      <w:pPr>
        <w:pStyle w:val="13"/>
        <w:keepNext w:val="0"/>
        <w:keepLines w:val="0"/>
        <w:pageBreakBefore w:val="0"/>
        <w:kinsoku/>
        <w:wordWrap/>
        <w:overflowPunct/>
        <w:topLinePunct w:val="0"/>
        <w:autoSpaceDE/>
        <w:autoSpaceDN/>
        <w:bidi w:val="0"/>
        <w:adjustRightInd/>
        <w:snapToGrid/>
        <w:spacing w:line="520" w:lineRule="exact"/>
        <w:ind w:left="559" w:leftChars="266" w:firstLine="0" w:firstLineChars="0"/>
        <w:jc w:val="left"/>
        <w:textAlignment w:val="auto"/>
        <w:rPr>
          <w:rFonts w:hint="default"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采购包一最高限价:</w:t>
      </w:r>
      <w:r>
        <w:rPr>
          <w:rFonts w:hint="eastAsia" w:ascii="仿宋" w:hAnsi="仿宋" w:eastAsia="仿宋" w:cs="仿宋"/>
          <w:color w:val="FF0000"/>
          <w:kern w:val="2"/>
          <w:sz w:val="28"/>
          <w:szCs w:val="28"/>
          <w:highlight w:val="none"/>
          <w:lang w:val="en-US" w:eastAsia="zh-CN" w:bidi="ar-SA"/>
        </w:rPr>
        <w:t>227997.50元，其中设备最高限价78800元，配套试剂耗材最高限价149197.50元。</w:t>
      </w:r>
    </w:p>
    <w:tbl>
      <w:tblPr>
        <w:tblStyle w:val="6"/>
        <w:tblpPr w:leftFromText="180" w:rightFromText="180" w:vertAnchor="text" w:horzAnchor="page" w:tblpX="948" w:tblpY="364"/>
        <w:tblOverlap w:val="never"/>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537"/>
        <w:gridCol w:w="1900"/>
      </w:tblGrid>
      <w:tr w14:paraId="721C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418" w:type="dxa"/>
            <w:vAlign w:val="center"/>
          </w:tcPr>
          <w:p w14:paraId="23DD9E38">
            <w:pPr>
              <w:spacing w:line="360" w:lineRule="auto"/>
              <w:jc w:val="center"/>
              <w:rPr>
                <w:rFonts w:ascii="仿宋" w:hAnsi="仿宋" w:eastAsia="仿宋" w:cs="宋体"/>
                <w:kern w:val="0"/>
                <w:sz w:val="24"/>
              </w:rPr>
            </w:pPr>
            <w:r>
              <w:rPr>
                <w:rFonts w:hint="eastAsia" w:ascii="仿宋" w:hAnsi="仿宋" w:eastAsia="仿宋" w:cs="宋体"/>
                <w:kern w:val="0"/>
                <w:sz w:val="24"/>
              </w:rPr>
              <w:t>项目内容</w:t>
            </w:r>
          </w:p>
        </w:tc>
        <w:tc>
          <w:tcPr>
            <w:tcW w:w="6537" w:type="dxa"/>
            <w:vAlign w:val="center"/>
          </w:tcPr>
          <w:p w14:paraId="05D1551A">
            <w:pPr>
              <w:spacing w:line="360" w:lineRule="auto"/>
              <w:jc w:val="center"/>
              <w:rPr>
                <w:rFonts w:ascii="仿宋" w:hAnsi="仿宋" w:eastAsia="仿宋" w:cs="宋体"/>
                <w:kern w:val="0"/>
                <w:sz w:val="24"/>
              </w:rPr>
            </w:pPr>
            <w:r>
              <w:rPr>
                <w:rFonts w:hint="eastAsia" w:ascii="仿宋" w:hAnsi="仿宋" w:eastAsia="仿宋" w:cs="宋体"/>
                <w:kern w:val="0"/>
                <w:sz w:val="24"/>
              </w:rPr>
              <w:t>技术参数和配置要求</w:t>
            </w:r>
          </w:p>
        </w:tc>
        <w:tc>
          <w:tcPr>
            <w:tcW w:w="1900" w:type="dxa"/>
            <w:vAlign w:val="center"/>
          </w:tcPr>
          <w:p w14:paraId="0C50080B">
            <w:pPr>
              <w:spacing w:line="360" w:lineRule="auto"/>
              <w:jc w:val="center"/>
              <w:rPr>
                <w:rFonts w:ascii="仿宋" w:hAnsi="仿宋" w:eastAsia="仿宋"/>
                <w:sz w:val="24"/>
              </w:rPr>
            </w:pPr>
            <w:r>
              <w:rPr>
                <w:rFonts w:hint="eastAsia" w:ascii="仿宋" w:hAnsi="仿宋" w:eastAsia="仿宋"/>
                <w:sz w:val="24"/>
              </w:rPr>
              <w:t>备注</w:t>
            </w:r>
          </w:p>
        </w:tc>
      </w:tr>
      <w:tr w14:paraId="6F48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18" w:type="dxa"/>
            <w:vAlign w:val="center"/>
          </w:tcPr>
          <w:p w14:paraId="5538782B">
            <w:pPr>
              <w:spacing w:line="360" w:lineRule="auto"/>
              <w:jc w:val="center"/>
              <w:rPr>
                <w:rFonts w:ascii="仿宋" w:hAnsi="仿宋" w:eastAsia="仿宋" w:cs="宋体"/>
                <w:kern w:val="0"/>
                <w:sz w:val="24"/>
              </w:rPr>
            </w:pPr>
            <w:r>
              <w:rPr>
                <w:rFonts w:hint="eastAsia" w:ascii="仿宋" w:hAnsi="仿宋" w:eastAsia="仿宋" w:cs="宋体"/>
                <w:kern w:val="0"/>
                <w:sz w:val="24"/>
              </w:rPr>
              <w:t>设备名称</w:t>
            </w:r>
          </w:p>
        </w:tc>
        <w:tc>
          <w:tcPr>
            <w:tcW w:w="6537" w:type="dxa"/>
            <w:vAlign w:val="center"/>
          </w:tcPr>
          <w:p w14:paraId="6D4551B6">
            <w:pPr>
              <w:shd w:val="clear" w:color="auto" w:fill="FFFFFF"/>
              <w:spacing w:before="100" w:beforeAutospacing="1" w:after="100" w:afterAutospacing="1" w:line="300" w:lineRule="auto"/>
              <w:contextualSpacing/>
              <w:rPr>
                <w:rFonts w:hint="default" w:ascii="仿宋" w:hAnsi="仿宋" w:eastAsia="仿宋" w:cs="宋体"/>
                <w:kern w:val="0"/>
                <w:sz w:val="24"/>
                <w:lang w:val="en-US"/>
              </w:rPr>
            </w:pPr>
            <w:r>
              <w:rPr>
                <w:rFonts w:hint="eastAsia" w:ascii="仿宋" w:hAnsi="仿宋" w:eastAsia="仿宋" w:cs="宋体"/>
                <w:kern w:val="0"/>
                <w:sz w:val="24"/>
                <w:lang w:val="en-US" w:eastAsia="zh-CN"/>
              </w:rPr>
              <w:t>微量元素检测仪</w:t>
            </w:r>
          </w:p>
        </w:tc>
        <w:tc>
          <w:tcPr>
            <w:tcW w:w="1900" w:type="dxa"/>
            <w:vAlign w:val="center"/>
          </w:tcPr>
          <w:p w14:paraId="42B0554D">
            <w:pPr>
              <w:spacing w:line="360" w:lineRule="auto"/>
              <w:jc w:val="center"/>
              <w:rPr>
                <w:rFonts w:ascii="仿宋" w:hAnsi="仿宋" w:eastAsia="仿宋"/>
                <w:sz w:val="24"/>
              </w:rPr>
            </w:pPr>
          </w:p>
        </w:tc>
      </w:tr>
      <w:tr w14:paraId="630B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418" w:type="dxa"/>
            <w:vAlign w:val="center"/>
          </w:tcPr>
          <w:p w14:paraId="3121020A">
            <w:pPr>
              <w:spacing w:line="360" w:lineRule="auto"/>
              <w:jc w:val="center"/>
              <w:rPr>
                <w:rFonts w:ascii="仿宋" w:hAnsi="仿宋" w:eastAsia="仿宋" w:cs="宋体"/>
                <w:kern w:val="0"/>
                <w:sz w:val="24"/>
              </w:rPr>
            </w:pPr>
            <w:r>
              <w:rPr>
                <w:rFonts w:hint="eastAsia" w:ascii="仿宋" w:hAnsi="仿宋" w:eastAsia="仿宋" w:cs="宋体"/>
                <w:kern w:val="0"/>
                <w:sz w:val="24"/>
              </w:rPr>
              <w:t>设备数量</w:t>
            </w:r>
          </w:p>
        </w:tc>
        <w:tc>
          <w:tcPr>
            <w:tcW w:w="6537" w:type="dxa"/>
            <w:vAlign w:val="center"/>
          </w:tcPr>
          <w:p w14:paraId="475DC40F">
            <w:pPr>
              <w:spacing w:line="360" w:lineRule="auto"/>
              <w:rPr>
                <w:rFonts w:hint="eastAsia" w:ascii="仿宋" w:hAnsi="仿宋" w:eastAsia="仿宋" w:cs="宋体"/>
                <w:kern w:val="0"/>
                <w:sz w:val="24"/>
                <w:lang w:eastAsia="zh-CN"/>
              </w:rPr>
            </w:pPr>
            <w:r>
              <w:rPr>
                <w:rFonts w:hint="eastAsia" w:ascii="仿宋" w:hAnsi="仿宋" w:eastAsia="仿宋" w:cs="宋体"/>
                <w:kern w:val="0"/>
                <w:sz w:val="24"/>
                <w:lang w:val="en-US" w:eastAsia="zh-CN"/>
              </w:rPr>
              <w:t>1套</w:t>
            </w:r>
          </w:p>
        </w:tc>
        <w:tc>
          <w:tcPr>
            <w:tcW w:w="1900" w:type="dxa"/>
            <w:vAlign w:val="center"/>
          </w:tcPr>
          <w:p w14:paraId="471CCE36">
            <w:pPr>
              <w:spacing w:line="360" w:lineRule="auto"/>
              <w:jc w:val="center"/>
              <w:rPr>
                <w:rFonts w:ascii="仿宋" w:hAnsi="仿宋" w:eastAsia="仿宋"/>
                <w:sz w:val="24"/>
              </w:rPr>
            </w:pPr>
          </w:p>
        </w:tc>
      </w:tr>
      <w:tr w14:paraId="7A0B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418" w:type="dxa"/>
            <w:vAlign w:val="center"/>
          </w:tcPr>
          <w:p w14:paraId="58AE2EED">
            <w:pPr>
              <w:spacing w:line="360" w:lineRule="auto"/>
              <w:jc w:val="center"/>
              <w:rPr>
                <w:rFonts w:ascii="仿宋" w:hAnsi="仿宋" w:eastAsia="仿宋" w:cs="宋体"/>
                <w:kern w:val="0"/>
                <w:sz w:val="24"/>
              </w:rPr>
            </w:pPr>
            <w:r>
              <w:rPr>
                <w:rFonts w:hint="eastAsia" w:ascii="仿宋" w:hAnsi="仿宋" w:eastAsia="仿宋" w:cs="宋体"/>
                <w:kern w:val="0"/>
                <w:sz w:val="24"/>
              </w:rPr>
              <w:t>用途</w:t>
            </w:r>
          </w:p>
        </w:tc>
        <w:tc>
          <w:tcPr>
            <w:tcW w:w="6537" w:type="dxa"/>
            <w:vAlign w:val="center"/>
          </w:tcPr>
          <w:p w14:paraId="685F9D66">
            <w:pPr>
              <w:widowControl/>
              <w:spacing w:line="360" w:lineRule="auto"/>
              <w:ind w:left="-2" w:leftChars="-1"/>
              <w:rPr>
                <w:rFonts w:hint="eastAsia" w:ascii="仿宋" w:hAnsi="仿宋" w:eastAsia="仿宋" w:cs="宋体"/>
                <w:kern w:val="0"/>
                <w:sz w:val="24"/>
                <w:lang w:val="en-US" w:eastAsia="zh-CN"/>
              </w:rPr>
            </w:pPr>
            <w:r>
              <w:rPr>
                <w:rFonts w:hint="default" w:ascii="仿宋" w:hAnsi="仿宋" w:eastAsia="仿宋" w:cs="宋体"/>
                <w:kern w:val="0"/>
                <w:sz w:val="24"/>
                <w:lang w:val="en-US" w:eastAsia="uk-UA"/>
              </w:rPr>
              <w:t>用于检测人体内微量元素的含量</w:t>
            </w:r>
            <w:r>
              <w:rPr>
                <w:rFonts w:hint="eastAsia" w:ascii="仿宋" w:hAnsi="仿宋" w:eastAsia="仿宋" w:cs="宋体"/>
                <w:kern w:val="0"/>
                <w:sz w:val="24"/>
                <w:lang w:val="en-US" w:eastAsia="zh-CN"/>
              </w:rPr>
              <w:t>。</w:t>
            </w:r>
          </w:p>
        </w:tc>
        <w:tc>
          <w:tcPr>
            <w:tcW w:w="1900" w:type="dxa"/>
            <w:vAlign w:val="center"/>
          </w:tcPr>
          <w:p w14:paraId="57D067DC">
            <w:pPr>
              <w:spacing w:line="360" w:lineRule="auto"/>
              <w:jc w:val="center"/>
              <w:rPr>
                <w:rFonts w:ascii="仿宋" w:hAnsi="仿宋" w:eastAsia="仿宋"/>
                <w:kern w:val="0"/>
                <w:sz w:val="24"/>
              </w:rPr>
            </w:pPr>
          </w:p>
        </w:tc>
      </w:tr>
      <w:tr w14:paraId="23C7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6" w:hRule="atLeast"/>
        </w:trPr>
        <w:tc>
          <w:tcPr>
            <w:tcW w:w="1418" w:type="dxa"/>
            <w:vAlign w:val="center"/>
          </w:tcPr>
          <w:p w14:paraId="7ACEFD58">
            <w:pPr>
              <w:spacing w:line="360" w:lineRule="auto"/>
              <w:jc w:val="center"/>
              <w:rPr>
                <w:rFonts w:ascii="仿宋" w:hAnsi="仿宋" w:eastAsia="仿宋" w:cs="宋体"/>
                <w:kern w:val="0"/>
                <w:sz w:val="24"/>
              </w:rPr>
            </w:pPr>
            <w:r>
              <w:rPr>
                <w:rFonts w:hint="eastAsia" w:ascii="仿宋" w:hAnsi="仿宋" w:eastAsia="仿宋" w:cs="宋体"/>
                <w:kern w:val="0"/>
                <w:sz w:val="24"/>
              </w:rPr>
              <w:t>技术参数</w:t>
            </w:r>
          </w:p>
        </w:tc>
        <w:tc>
          <w:tcPr>
            <w:tcW w:w="6537" w:type="dxa"/>
            <w:vAlign w:val="center"/>
          </w:tcPr>
          <w:p w14:paraId="53C6A65B">
            <w:pPr>
              <w:pStyle w:val="20"/>
              <w:jc w:val="left"/>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▲1.方法学：原子吸收光谱法；</w:t>
            </w:r>
          </w:p>
          <w:p w14:paraId="76482FCA">
            <w:pPr>
              <w:pStyle w:val="20"/>
              <w:numPr>
                <w:ilvl w:val="0"/>
                <w:numId w:val="0"/>
              </w:numPr>
              <w:jc w:val="left"/>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▲2.检测样本种类及用量：全血≤40微升、血清≤300微升、乳汁≤150微升，尿液≤150微升</w:t>
            </w:r>
            <w:r>
              <w:rPr>
                <w:rFonts w:hint="default" w:ascii="仿宋" w:hAnsi="仿宋" w:eastAsia="仿宋" w:cs="宋体"/>
                <w:color w:val="auto"/>
                <w:kern w:val="0"/>
                <w:sz w:val="24"/>
                <w:lang w:val="en-US" w:eastAsia="zh-CN"/>
              </w:rPr>
              <w:t>；</w:t>
            </w:r>
            <w:r>
              <w:rPr>
                <w:rFonts w:hint="default" w:ascii="仿宋" w:hAnsi="仿宋" w:eastAsia="仿宋" w:cs="宋体"/>
                <w:color w:val="auto"/>
                <w:kern w:val="0"/>
                <w:sz w:val="24"/>
                <w:lang w:val="en-US" w:eastAsia="zh-CN"/>
              </w:rPr>
              <w:cr/>
            </w:r>
            <w:r>
              <w:rPr>
                <w:rFonts w:hint="eastAsia" w:ascii="仿宋" w:hAnsi="仿宋" w:eastAsia="仿宋" w:cs="宋体"/>
                <w:color w:val="auto"/>
                <w:kern w:val="0"/>
                <w:sz w:val="24"/>
                <w:lang w:val="en-US" w:eastAsia="zh-CN"/>
              </w:rPr>
              <w:t>3.</w:t>
            </w:r>
            <w:r>
              <w:rPr>
                <w:rFonts w:hint="default" w:ascii="仿宋" w:hAnsi="仿宋" w:eastAsia="仿宋" w:cs="宋体"/>
                <w:color w:val="auto"/>
                <w:kern w:val="0"/>
                <w:sz w:val="24"/>
                <w:lang w:val="en-US" w:eastAsia="zh-CN"/>
              </w:rPr>
              <w:t>主机通道数：≥五通道；</w:t>
            </w:r>
          </w:p>
          <w:p w14:paraId="5337C986">
            <w:pPr>
              <w:pStyle w:val="20"/>
              <w:numPr>
                <w:ilvl w:val="0"/>
                <w:numId w:val="0"/>
              </w:numPr>
              <w:ind w:leftChars="0"/>
              <w:jc w:val="left"/>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▲4.复合元素灯</w:t>
            </w:r>
            <w:r>
              <w:rPr>
                <w:rFonts w:hint="default" w:ascii="仿宋" w:hAnsi="仿宋" w:eastAsia="仿宋" w:cs="宋体"/>
                <w:color w:val="auto"/>
                <w:kern w:val="0"/>
                <w:sz w:val="24"/>
                <w:lang w:val="en-US" w:eastAsia="zh-CN"/>
              </w:rPr>
              <w:t>≥</w:t>
            </w:r>
            <w:r>
              <w:rPr>
                <w:rFonts w:hint="eastAsia" w:ascii="仿宋" w:hAnsi="仿宋" w:eastAsia="仿宋" w:cs="宋体"/>
                <w:color w:val="auto"/>
                <w:kern w:val="0"/>
                <w:sz w:val="24"/>
                <w:lang w:val="en-US" w:eastAsia="zh-CN"/>
              </w:rPr>
              <w:t>3个；</w:t>
            </w:r>
            <w:r>
              <w:rPr>
                <w:rFonts w:hint="default" w:ascii="仿宋" w:hAnsi="仿宋" w:eastAsia="仿宋" w:cs="宋体"/>
                <w:color w:val="auto"/>
                <w:kern w:val="0"/>
                <w:sz w:val="24"/>
                <w:lang w:val="en-US" w:eastAsia="zh-CN"/>
              </w:rPr>
              <w:cr/>
            </w:r>
            <w:r>
              <w:rPr>
                <w:rFonts w:hint="eastAsia" w:ascii="仿宋" w:hAnsi="仿宋" w:eastAsia="仿宋" w:cs="宋体"/>
                <w:color w:val="auto"/>
                <w:kern w:val="0"/>
                <w:sz w:val="24"/>
                <w:lang w:val="en-US" w:eastAsia="zh-CN"/>
              </w:rPr>
              <w:t>5.</w:t>
            </w:r>
            <w:r>
              <w:rPr>
                <w:rFonts w:hint="default" w:ascii="仿宋" w:hAnsi="仿宋" w:eastAsia="仿宋" w:cs="宋体"/>
                <w:color w:val="auto"/>
                <w:kern w:val="0"/>
                <w:sz w:val="24"/>
                <w:lang w:val="en-US" w:eastAsia="zh-CN"/>
              </w:rPr>
              <w:t>进样方式；一次进样可以同时测量铜、锌、钙、镁、铁五种元素含量；</w:t>
            </w:r>
          </w:p>
          <w:p w14:paraId="6A116253">
            <w:pPr>
              <w:pStyle w:val="20"/>
              <w:numPr>
                <w:ilvl w:val="0"/>
                <w:numId w:val="0"/>
              </w:numPr>
              <w:ind w:leftChars="0"/>
              <w:jc w:val="left"/>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▲6.安全措施：乙炔流量控制、火焰监测功能、乙炔防回火器、电磁阀断电和空气压力不足自动切断装置、燃烧器防爆装置；</w:t>
            </w:r>
            <w:r>
              <w:rPr>
                <w:rFonts w:hint="default" w:ascii="仿宋" w:hAnsi="仿宋" w:eastAsia="仿宋" w:cs="宋体"/>
                <w:color w:val="auto"/>
                <w:kern w:val="0"/>
                <w:sz w:val="24"/>
                <w:lang w:val="en-US" w:eastAsia="zh-CN"/>
              </w:rPr>
              <w:cr/>
            </w:r>
            <w:r>
              <w:rPr>
                <w:rFonts w:hint="eastAsia" w:ascii="仿宋" w:hAnsi="仿宋" w:eastAsia="仿宋" w:cs="宋体"/>
                <w:color w:val="auto"/>
                <w:kern w:val="0"/>
                <w:sz w:val="24"/>
                <w:lang w:val="en-US" w:eastAsia="zh-CN"/>
              </w:rPr>
              <w:t>7.</w:t>
            </w:r>
            <w:r>
              <w:rPr>
                <w:rFonts w:hint="default" w:ascii="仿宋" w:hAnsi="仿宋" w:eastAsia="仿宋" w:cs="宋体"/>
                <w:color w:val="auto"/>
                <w:kern w:val="0"/>
                <w:sz w:val="24"/>
                <w:lang w:val="en-US" w:eastAsia="zh-CN"/>
              </w:rPr>
              <w:t>测量结果可自动整理计算、贮存、打印；</w:t>
            </w:r>
            <w:r>
              <w:rPr>
                <w:rFonts w:hint="default" w:ascii="仿宋" w:hAnsi="仿宋" w:eastAsia="仿宋" w:cs="宋体"/>
                <w:color w:val="auto"/>
                <w:kern w:val="0"/>
                <w:sz w:val="24"/>
                <w:lang w:val="en-US" w:eastAsia="zh-CN"/>
              </w:rPr>
              <w:cr/>
            </w:r>
            <w:r>
              <w:rPr>
                <w:rFonts w:hint="eastAsia" w:ascii="仿宋" w:hAnsi="仿宋" w:eastAsia="仿宋" w:cs="宋体"/>
                <w:color w:val="auto"/>
                <w:kern w:val="0"/>
                <w:sz w:val="24"/>
                <w:lang w:val="en-US" w:eastAsia="zh-CN"/>
              </w:rPr>
              <w:t>8.</w:t>
            </w:r>
            <w:r>
              <w:rPr>
                <w:rFonts w:hint="default" w:ascii="仿宋" w:hAnsi="仿宋" w:eastAsia="仿宋" w:cs="宋体"/>
                <w:color w:val="auto"/>
                <w:kern w:val="0"/>
                <w:sz w:val="24"/>
                <w:lang w:val="en-US" w:eastAsia="zh-CN"/>
              </w:rPr>
              <w:t>基线稳定性：每30min内铜、锌，钙、镁、铁各线的基线稳定性≤0.005Abs；</w:t>
            </w:r>
          </w:p>
          <w:p w14:paraId="10285CA4">
            <w:pPr>
              <w:pStyle w:val="20"/>
              <w:numPr>
                <w:ilvl w:val="0"/>
                <w:numId w:val="0"/>
              </w:numPr>
              <w:ind w:leftChars="0"/>
              <w:jc w:val="left"/>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9.</w:t>
            </w:r>
            <w:r>
              <w:rPr>
                <w:rFonts w:hint="default" w:ascii="仿宋" w:hAnsi="仿宋" w:eastAsia="仿宋" w:cs="宋体"/>
                <w:color w:val="auto"/>
                <w:kern w:val="0"/>
                <w:sz w:val="24"/>
                <w:lang w:val="en-US" w:eastAsia="zh-CN"/>
              </w:rPr>
              <w:t>精密度：对铜、锌、钙、镁、铁的精密度≤1.0%；</w:t>
            </w:r>
          </w:p>
          <w:p w14:paraId="5FA12D6C">
            <w:pPr>
              <w:pStyle w:val="20"/>
              <w:numPr>
                <w:ilvl w:val="0"/>
                <w:numId w:val="0"/>
              </w:numPr>
              <w:ind w:leftChars="0"/>
              <w:jc w:val="left"/>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▲10.点火方式：自动点火；</w:t>
            </w:r>
          </w:p>
          <w:p w14:paraId="153B9569">
            <w:pPr>
              <w:pStyle w:val="20"/>
              <w:numPr>
                <w:ilvl w:val="0"/>
                <w:numId w:val="0"/>
              </w:numPr>
              <w:ind w:leftChars="0"/>
              <w:jc w:val="left"/>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▲11.可提供与仪器配套使用的全套试剂（包括检测试剂、校准品、质控品），并取得医疗器械注册认证（二类）；</w:t>
            </w:r>
          </w:p>
          <w:p w14:paraId="3A6C9AC0">
            <w:pPr>
              <w:pStyle w:val="20"/>
              <w:numPr>
                <w:ilvl w:val="0"/>
                <w:numId w:val="0"/>
              </w:numPr>
              <w:ind w:leftChars="0"/>
              <w:jc w:val="left"/>
              <w:rPr>
                <w:rFonts w:hint="default" w:ascii="仿宋" w:hAnsi="仿宋" w:eastAsia="仿宋" w:cs="宋体"/>
                <w:color w:val="auto"/>
                <w:kern w:val="0"/>
                <w:sz w:val="24"/>
                <w:lang w:val="en-US" w:eastAsia="zh-CN"/>
              </w:rPr>
            </w:pPr>
            <w:r>
              <w:rPr>
                <w:rFonts w:hint="eastAsia" w:ascii="仿宋" w:hAnsi="仿宋" w:eastAsia="仿宋" w:cs="宋体"/>
                <w:kern w:val="0"/>
                <w:sz w:val="24"/>
                <w:lang w:val="en-US" w:eastAsia="zh-CN"/>
              </w:rPr>
              <w:t>★</w:t>
            </w:r>
            <w:r>
              <w:rPr>
                <w:rFonts w:hint="eastAsia" w:ascii="仿宋" w:hAnsi="仿宋" w:eastAsia="仿宋" w:cs="宋体"/>
                <w:color w:val="auto"/>
                <w:kern w:val="0"/>
                <w:sz w:val="24"/>
                <w:lang w:val="en-US" w:eastAsia="zh-CN"/>
              </w:rPr>
              <w:t>12.主机使用期限</w:t>
            </w:r>
            <w:r>
              <w:rPr>
                <w:rFonts w:hint="default" w:ascii="仿宋" w:hAnsi="仿宋" w:eastAsia="仿宋" w:cs="宋体"/>
                <w:color w:val="auto"/>
                <w:kern w:val="0"/>
                <w:sz w:val="24"/>
                <w:lang w:val="en-US" w:eastAsia="zh-CN"/>
              </w:rPr>
              <w:t>≥</w:t>
            </w:r>
            <w:r>
              <w:rPr>
                <w:rFonts w:hint="eastAsia" w:ascii="仿宋" w:hAnsi="仿宋" w:eastAsia="仿宋" w:cs="宋体"/>
                <w:color w:val="auto"/>
                <w:kern w:val="0"/>
                <w:sz w:val="24"/>
                <w:lang w:val="en-US" w:eastAsia="zh-CN"/>
              </w:rPr>
              <w:t>8年。</w:t>
            </w:r>
          </w:p>
        </w:tc>
        <w:tc>
          <w:tcPr>
            <w:tcW w:w="1900" w:type="dxa"/>
            <w:vAlign w:val="center"/>
          </w:tcPr>
          <w:p w14:paraId="1E32D513">
            <w:pPr>
              <w:spacing w:line="360" w:lineRule="auto"/>
              <w:jc w:val="both"/>
              <w:rPr>
                <w:rFonts w:hint="default" w:ascii="仿宋" w:hAnsi="仿宋" w:eastAsia="仿宋" w:cs="Times New Roman"/>
                <w:sz w:val="24"/>
                <w:lang w:val="en-US" w:eastAsia="zh-CN"/>
              </w:rPr>
            </w:pPr>
            <w:r>
              <w:rPr>
                <w:rFonts w:hint="eastAsia" w:ascii="仿宋" w:hAnsi="仿宋" w:eastAsia="仿宋" w:cs="Times New Roman"/>
                <w:sz w:val="24"/>
                <w:lang w:val="en-US" w:eastAsia="zh-CN"/>
              </w:rPr>
              <w:t>供应商须在响应文件中单独提供设备配置清单（配置清单格式参见第九章附件13），采购人将以此为依据进行验收。</w:t>
            </w:r>
          </w:p>
          <w:p w14:paraId="1E0F3DD0">
            <w:pPr>
              <w:spacing w:line="360" w:lineRule="auto"/>
              <w:jc w:val="both"/>
              <w:rPr>
                <w:rFonts w:ascii="仿宋" w:hAnsi="仿宋" w:eastAsia="仿宋"/>
                <w:kern w:val="0"/>
                <w:sz w:val="24"/>
              </w:rPr>
            </w:pPr>
          </w:p>
        </w:tc>
      </w:tr>
      <w:tr w14:paraId="6223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418" w:type="dxa"/>
            <w:vAlign w:val="center"/>
          </w:tcPr>
          <w:p w14:paraId="723EF752">
            <w:pPr>
              <w:spacing w:line="360" w:lineRule="auto"/>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配套耗材</w:t>
            </w:r>
          </w:p>
        </w:tc>
        <w:tc>
          <w:tcPr>
            <w:tcW w:w="6537" w:type="dxa"/>
            <w:vAlign w:val="top"/>
          </w:tcPr>
          <w:p w14:paraId="2271F2CA">
            <w:pPr>
              <w:numPr>
                <w:ilvl w:val="0"/>
                <w:numId w:val="0"/>
              </w:numP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★本表供应商必须如实响应</w:t>
            </w:r>
          </w:p>
          <w:p w14:paraId="6C2875F0">
            <w:pPr>
              <w:numPr>
                <w:ilvl w:val="0"/>
                <w:numId w:val="0"/>
              </w:numP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配套试剂：微量元素检测仪配套试剂耗材目录清单</w:t>
            </w:r>
          </w:p>
          <w:tbl>
            <w:tblPr>
              <w:tblStyle w:val="7"/>
              <w:tblW w:w="5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2262"/>
              <w:gridCol w:w="900"/>
              <w:gridCol w:w="775"/>
              <w:gridCol w:w="725"/>
              <w:gridCol w:w="526"/>
            </w:tblGrid>
            <w:tr w14:paraId="3FCB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shd w:val="clear" w:color="auto" w:fill="auto"/>
                  <w:vAlign w:val="top"/>
                </w:tcPr>
                <w:p w14:paraId="7EC5BE8A">
                  <w:pPr>
                    <w:pStyle w:val="13"/>
                    <w:widowControl w:val="0"/>
                    <w:jc w:val="center"/>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序号</w:t>
                  </w:r>
                </w:p>
              </w:tc>
              <w:tc>
                <w:tcPr>
                  <w:tcW w:w="2262" w:type="dxa"/>
                  <w:shd w:val="clear" w:color="auto" w:fill="auto"/>
                  <w:vAlign w:val="top"/>
                </w:tcPr>
                <w:p w14:paraId="4BAD4E09">
                  <w:pPr>
                    <w:pStyle w:val="13"/>
                    <w:widowControl w:val="0"/>
                    <w:jc w:val="center"/>
                    <w:rPr>
                      <w:rFonts w:hint="default"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项目名称</w:t>
                  </w:r>
                </w:p>
              </w:tc>
              <w:tc>
                <w:tcPr>
                  <w:tcW w:w="900" w:type="dxa"/>
                  <w:shd w:val="clear" w:color="auto" w:fill="auto"/>
                  <w:vAlign w:val="top"/>
                </w:tcPr>
                <w:p w14:paraId="39A280F7">
                  <w:pPr>
                    <w:pStyle w:val="13"/>
                    <w:widowControl w:val="0"/>
                    <w:jc w:val="center"/>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单价（人次/人份）</w:t>
                  </w:r>
                </w:p>
              </w:tc>
              <w:tc>
                <w:tcPr>
                  <w:tcW w:w="775" w:type="dxa"/>
                  <w:shd w:val="clear" w:color="auto" w:fill="auto"/>
                  <w:vAlign w:val="top"/>
                </w:tcPr>
                <w:p w14:paraId="5052382F">
                  <w:pPr>
                    <w:pStyle w:val="13"/>
                    <w:widowControl w:val="0"/>
                    <w:jc w:val="center"/>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年测试量（人次）</w:t>
                  </w:r>
                </w:p>
              </w:tc>
              <w:tc>
                <w:tcPr>
                  <w:tcW w:w="725" w:type="dxa"/>
                  <w:shd w:val="clear" w:color="auto" w:fill="auto"/>
                  <w:vAlign w:val="top"/>
                </w:tcPr>
                <w:p w14:paraId="1114E438">
                  <w:pPr>
                    <w:pStyle w:val="13"/>
                    <w:widowControl w:val="0"/>
                    <w:jc w:val="center"/>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年测试金额</w:t>
                  </w:r>
                </w:p>
              </w:tc>
              <w:tc>
                <w:tcPr>
                  <w:tcW w:w="526" w:type="dxa"/>
                  <w:shd w:val="clear" w:color="auto" w:fill="auto"/>
                  <w:vAlign w:val="top"/>
                </w:tcPr>
                <w:p w14:paraId="6F7E1A5A">
                  <w:pPr>
                    <w:pStyle w:val="13"/>
                    <w:widowControl w:val="0"/>
                    <w:jc w:val="left"/>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备注</w:t>
                  </w:r>
                </w:p>
              </w:tc>
            </w:tr>
            <w:tr w14:paraId="0E62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413" w:type="dxa"/>
                </w:tcPr>
                <w:p w14:paraId="06103A83">
                  <w:pPr>
                    <w:numPr>
                      <w:ilvl w:val="0"/>
                      <w:numId w:val="0"/>
                    </w:numPr>
                    <w:rPr>
                      <w:rFonts w:hint="default" w:ascii="仿宋" w:hAnsi="仿宋" w:eastAsia="仿宋" w:cs="宋体"/>
                      <w:kern w:val="0"/>
                      <w:sz w:val="24"/>
                      <w:vertAlign w:val="baseline"/>
                      <w:lang w:val="en-US" w:eastAsia="zh-CN"/>
                    </w:rPr>
                  </w:pPr>
                  <w:r>
                    <w:rPr>
                      <w:rFonts w:hint="eastAsia" w:ascii="仿宋" w:hAnsi="仿宋" w:eastAsia="仿宋" w:cs="宋体"/>
                      <w:kern w:val="0"/>
                      <w:sz w:val="24"/>
                      <w:vertAlign w:val="baseline"/>
                      <w:lang w:val="en-US" w:eastAsia="zh-CN"/>
                    </w:rPr>
                    <w:t>1</w:t>
                  </w:r>
                </w:p>
              </w:tc>
              <w:tc>
                <w:tcPr>
                  <w:tcW w:w="2262" w:type="dxa"/>
                </w:tcPr>
                <w:p w14:paraId="403BF458">
                  <w:pPr>
                    <w:numPr>
                      <w:ilvl w:val="0"/>
                      <w:numId w:val="0"/>
                    </w:numPr>
                    <w:jc w:val="left"/>
                    <w:rPr>
                      <w:rFonts w:hint="default" w:ascii="仿宋" w:hAnsi="仿宋" w:eastAsia="仿宋" w:cs="宋体"/>
                      <w:color w:val="auto"/>
                      <w:kern w:val="0"/>
                      <w:sz w:val="24"/>
                      <w:szCs w:val="22"/>
                      <w:lang w:val="en-US" w:eastAsia="zh-CN" w:bidi="ar-SA"/>
                    </w:rPr>
                  </w:pPr>
                  <w:r>
                    <w:rPr>
                      <w:rFonts w:hint="eastAsia" w:ascii="仿宋" w:hAnsi="仿宋" w:eastAsia="仿宋" w:cs="宋体"/>
                      <w:color w:val="auto"/>
                      <w:kern w:val="0"/>
                      <w:sz w:val="24"/>
                      <w:szCs w:val="22"/>
                      <w:lang w:val="en-US" w:eastAsia="zh-CN" w:bidi="ar-SA"/>
                    </w:rPr>
                    <w:t>...</w:t>
                  </w:r>
                </w:p>
              </w:tc>
              <w:tc>
                <w:tcPr>
                  <w:tcW w:w="900" w:type="dxa"/>
                </w:tcPr>
                <w:p w14:paraId="67945E51">
                  <w:pPr>
                    <w:numPr>
                      <w:ilvl w:val="0"/>
                      <w:numId w:val="0"/>
                    </w:numPr>
                    <w:rPr>
                      <w:rFonts w:hint="eastAsia" w:ascii="仿宋" w:hAnsi="仿宋" w:eastAsia="仿宋" w:cs="宋体"/>
                      <w:kern w:val="0"/>
                      <w:sz w:val="24"/>
                      <w:vertAlign w:val="baseline"/>
                      <w:lang w:val="en-US" w:eastAsia="zh-CN"/>
                    </w:rPr>
                  </w:pPr>
                </w:p>
              </w:tc>
              <w:tc>
                <w:tcPr>
                  <w:tcW w:w="775" w:type="dxa"/>
                </w:tcPr>
                <w:p w14:paraId="2DE49E60">
                  <w:pPr>
                    <w:numPr>
                      <w:ilvl w:val="0"/>
                      <w:numId w:val="0"/>
                    </w:numPr>
                    <w:jc w:val="center"/>
                    <w:rPr>
                      <w:rFonts w:hint="default" w:ascii="仿宋" w:hAnsi="仿宋" w:eastAsia="仿宋" w:cs="宋体"/>
                      <w:kern w:val="0"/>
                      <w:sz w:val="24"/>
                      <w:vertAlign w:val="baseline"/>
                      <w:lang w:val="en-US" w:eastAsia="zh-CN"/>
                    </w:rPr>
                  </w:pPr>
                  <w:r>
                    <w:rPr>
                      <w:rFonts w:hint="eastAsia" w:ascii="仿宋" w:hAnsi="仿宋" w:eastAsia="仿宋" w:cs="宋体"/>
                      <w:kern w:val="0"/>
                      <w:sz w:val="24"/>
                      <w:vertAlign w:val="baseline"/>
                      <w:lang w:val="en-US" w:eastAsia="zh-CN"/>
                    </w:rPr>
                    <w:t>5000</w:t>
                  </w:r>
                </w:p>
              </w:tc>
              <w:tc>
                <w:tcPr>
                  <w:tcW w:w="725" w:type="dxa"/>
                </w:tcPr>
                <w:p w14:paraId="018896CF">
                  <w:pPr>
                    <w:numPr>
                      <w:ilvl w:val="0"/>
                      <w:numId w:val="0"/>
                    </w:numPr>
                    <w:rPr>
                      <w:rFonts w:hint="eastAsia" w:ascii="仿宋" w:hAnsi="仿宋" w:eastAsia="仿宋" w:cs="宋体"/>
                      <w:kern w:val="0"/>
                      <w:sz w:val="24"/>
                      <w:vertAlign w:val="baseline"/>
                      <w:lang w:val="en-US" w:eastAsia="zh-CN"/>
                    </w:rPr>
                  </w:pPr>
                </w:p>
              </w:tc>
              <w:tc>
                <w:tcPr>
                  <w:tcW w:w="526" w:type="dxa"/>
                </w:tcPr>
                <w:p w14:paraId="21558324">
                  <w:pPr>
                    <w:numPr>
                      <w:ilvl w:val="0"/>
                      <w:numId w:val="0"/>
                    </w:numPr>
                    <w:rPr>
                      <w:rFonts w:hint="eastAsia" w:ascii="仿宋" w:hAnsi="仿宋" w:eastAsia="仿宋" w:cs="宋体"/>
                      <w:kern w:val="0"/>
                      <w:sz w:val="24"/>
                      <w:vertAlign w:val="baseline"/>
                      <w:lang w:val="en-US" w:eastAsia="zh-CN"/>
                    </w:rPr>
                  </w:pPr>
                </w:p>
              </w:tc>
            </w:tr>
            <w:tr w14:paraId="4E22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413" w:type="dxa"/>
                </w:tcPr>
                <w:p w14:paraId="0AEC21FA">
                  <w:pPr>
                    <w:numPr>
                      <w:ilvl w:val="0"/>
                      <w:numId w:val="0"/>
                    </w:numPr>
                    <w:rPr>
                      <w:rFonts w:hint="default" w:ascii="仿宋" w:hAnsi="仿宋" w:eastAsia="仿宋" w:cs="宋体"/>
                      <w:kern w:val="0"/>
                      <w:sz w:val="24"/>
                      <w:vertAlign w:val="baseline"/>
                      <w:lang w:val="en-US" w:eastAsia="zh-CN"/>
                    </w:rPr>
                  </w:pPr>
                  <w:r>
                    <w:rPr>
                      <w:rFonts w:hint="eastAsia" w:ascii="仿宋" w:hAnsi="仿宋" w:eastAsia="仿宋" w:cs="宋体"/>
                      <w:kern w:val="0"/>
                      <w:sz w:val="24"/>
                      <w:vertAlign w:val="baseline"/>
                      <w:lang w:val="en-US" w:eastAsia="zh-CN"/>
                    </w:rPr>
                    <w:t>2</w:t>
                  </w:r>
                </w:p>
              </w:tc>
              <w:tc>
                <w:tcPr>
                  <w:tcW w:w="2262" w:type="dxa"/>
                </w:tcPr>
                <w:p w14:paraId="166AB4B3">
                  <w:pPr>
                    <w:numPr>
                      <w:ilvl w:val="0"/>
                      <w:numId w:val="0"/>
                    </w:numPr>
                    <w:jc w:val="left"/>
                    <w:rPr>
                      <w:rFonts w:hint="default" w:ascii="仿宋" w:hAnsi="仿宋" w:eastAsia="仿宋" w:cs="宋体"/>
                      <w:color w:val="auto"/>
                      <w:kern w:val="0"/>
                      <w:sz w:val="24"/>
                      <w:szCs w:val="22"/>
                      <w:lang w:val="en-US" w:eastAsia="zh-CN" w:bidi="ar-SA"/>
                    </w:rPr>
                  </w:pPr>
                  <w:r>
                    <w:rPr>
                      <w:rFonts w:hint="eastAsia" w:ascii="仿宋" w:hAnsi="仿宋" w:eastAsia="仿宋" w:cs="宋体"/>
                      <w:color w:val="auto"/>
                      <w:kern w:val="0"/>
                      <w:sz w:val="24"/>
                      <w:szCs w:val="22"/>
                      <w:lang w:val="en-US" w:eastAsia="zh-CN" w:bidi="ar-SA"/>
                    </w:rPr>
                    <w:t>...</w:t>
                  </w:r>
                </w:p>
              </w:tc>
              <w:tc>
                <w:tcPr>
                  <w:tcW w:w="900" w:type="dxa"/>
                </w:tcPr>
                <w:p w14:paraId="345354A7">
                  <w:pPr>
                    <w:numPr>
                      <w:ilvl w:val="0"/>
                      <w:numId w:val="0"/>
                    </w:numPr>
                    <w:rPr>
                      <w:rFonts w:hint="eastAsia" w:ascii="仿宋" w:hAnsi="仿宋" w:eastAsia="仿宋" w:cs="宋体"/>
                      <w:kern w:val="0"/>
                      <w:sz w:val="24"/>
                      <w:vertAlign w:val="baseline"/>
                      <w:lang w:val="en-US" w:eastAsia="zh-CN"/>
                    </w:rPr>
                  </w:pPr>
                </w:p>
              </w:tc>
              <w:tc>
                <w:tcPr>
                  <w:tcW w:w="775" w:type="dxa"/>
                </w:tcPr>
                <w:p w14:paraId="345F7246">
                  <w:pPr>
                    <w:numPr>
                      <w:ilvl w:val="0"/>
                      <w:numId w:val="0"/>
                    </w:numPr>
                    <w:jc w:val="center"/>
                    <w:rPr>
                      <w:rFonts w:hint="default" w:ascii="仿宋" w:hAnsi="仿宋" w:eastAsia="仿宋" w:cs="宋体"/>
                      <w:kern w:val="0"/>
                      <w:sz w:val="24"/>
                      <w:vertAlign w:val="baseline"/>
                      <w:lang w:val="en-US" w:eastAsia="zh-CN"/>
                    </w:rPr>
                  </w:pPr>
                  <w:r>
                    <w:rPr>
                      <w:rFonts w:hint="eastAsia" w:ascii="仿宋" w:hAnsi="仿宋" w:eastAsia="仿宋" w:cs="宋体"/>
                      <w:kern w:val="0"/>
                      <w:sz w:val="24"/>
                      <w:vertAlign w:val="baseline"/>
                      <w:lang w:val="en-US" w:eastAsia="zh-CN"/>
                    </w:rPr>
                    <w:t>5000</w:t>
                  </w:r>
                </w:p>
              </w:tc>
              <w:tc>
                <w:tcPr>
                  <w:tcW w:w="725" w:type="dxa"/>
                </w:tcPr>
                <w:p w14:paraId="3DB4E106">
                  <w:pPr>
                    <w:numPr>
                      <w:ilvl w:val="0"/>
                      <w:numId w:val="0"/>
                    </w:numPr>
                    <w:rPr>
                      <w:rFonts w:hint="eastAsia" w:ascii="仿宋" w:hAnsi="仿宋" w:eastAsia="仿宋" w:cs="宋体"/>
                      <w:kern w:val="0"/>
                      <w:sz w:val="24"/>
                      <w:vertAlign w:val="baseline"/>
                      <w:lang w:val="en-US" w:eastAsia="zh-CN"/>
                    </w:rPr>
                  </w:pPr>
                </w:p>
              </w:tc>
              <w:tc>
                <w:tcPr>
                  <w:tcW w:w="526" w:type="dxa"/>
                </w:tcPr>
                <w:p w14:paraId="6CD1F05F">
                  <w:pPr>
                    <w:numPr>
                      <w:ilvl w:val="0"/>
                      <w:numId w:val="0"/>
                    </w:numPr>
                    <w:rPr>
                      <w:rFonts w:hint="eastAsia" w:ascii="仿宋" w:hAnsi="仿宋" w:eastAsia="仿宋" w:cs="宋体"/>
                      <w:kern w:val="0"/>
                      <w:sz w:val="24"/>
                      <w:vertAlign w:val="baseline"/>
                      <w:lang w:val="en-US" w:eastAsia="zh-CN"/>
                    </w:rPr>
                  </w:pPr>
                </w:p>
              </w:tc>
            </w:tr>
          </w:tbl>
          <w:p w14:paraId="727DA666">
            <w:pPr>
              <w:numPr>
                <w:ilvl w:val="0"/>
                <w:numId w:val="0"/>
              </w:numPr>
              <w:rPr>
                <w:rFonts w:hint="eastAsia" w:ascii="仿宋" w:hAnsi="仿宋" w:eastAsia="仿宋" w:cs="宋体"/>
                <w:kern w:val="0"/>
                <w:sz w:val="24"/>
                <w:lang w:val="en-US" w:eastAsia="zh-CN"/>
              </w:rPr>
            </w:pPr>
            <w:r>
              <w:rPr>
                <w:rFonts w:hint="eastAsia" w:ascii="仿宋" w:hAnsi="仿宋" w:eastAsia="仿宋" w:cs="仿宋"/>
                <w:color w:val="FF0000"/>
                <w:kern w:val="2"/>
                <w:sz w:val="24"/>
                <w:szCs w:val="24"/>
                <w:lang w:val="en-US" w:eastAsia="zh-CN"/>
              </w:rPr>
              <w:t>挂网产品不得高于“四川医保公共服务药品和医用耗材招采管理系统平台”上的，上月末全省医疗机构采购加权平均价、四川省最高参考价、联动参考价、采购人发生实际采购交易以来的最低采购价（如有）中的任一价格</w:t>
            </w:r>
          </w:p>
        </w:tc>
        <w:tc>
          <w:tcPr>
            <w:tcW w:w="1900" w:type="dxa"/>
          </w:tcPr>
          <w:p w14:paraId="4302A6D3">
            <w:pPr>
              <w:spacing w:line="360" w:lineRule="auto"/>
              <w:jc w:val="center"/>
              <w:rPr>
                <w:rFonts w:hint="default" w:ascii="仿宋" w:hAnsi="仿宋" w:eastAsia="仿宋"/>
                <w:sz w:val="24"/>
                <w:lang w:val="en-US" w:eastAsia="zh-CN"/>
              </w:rPr>
            </w:pPr>
            <w:r>
              <w:rPr>
                <w:rFonts w:hint="eastAsia" w:ascii="仿宋" w:hAnsi="仿宋" w:eastAsia="仿宋"/>
                <w:sz w:val="24"/>
                <w:szCs w:val="24"/>
                <w:lang w:val="en-US" w:eastAsia="zh-CN"/>
              </w:rPr>
              <w:t>1、项目名称报价公司根据检测需要自行填写所需试剂耗材及质控品等，不填报者视为检测项目不需要或免费产品；2、报价公司需报单次检测耗材和试剂价格，并计算年测试金额；3、如果检测需要而未报相关试剂、耗材或在实际使用测试中试剂、耗材高于报价的，</w:t>
            </w:r>
            <w:r>
              <w:rPr>
                <w:rFonts w:hint="eastAsia" w:ascii="仿宋" w:hAnsi="仿宋" w:eastAsia="仿宋"/>
                <w:color w:val="FF0000"/>
                <w:sz w:val="24"/>
                <w:szCs w:val="24"/>
                <w:lang w:val="en-US" w:eastAsia="zh-CN"/>
              </w:rPr>
              <w:t>将取消中标资格。</w:t>
            </w:r>
          </w:p>
        </w:tc>
      </w:tr>
      <w:tr w14:paraId="4E51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418" w:type="dxa"/>
            <w:vAlign w:val="center"/>
          </w:tcPr>
          <w:p w14:paraId="2861A130">
            <w:pPr>
              <w:spacing w:line="360" w:lineRule="auto"/>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★配置清单</w:t>
            </w:r>
          </w:p>
        </w:tc>
        <w:tc>
          <w:tcPr>
            <w:tcW w:w="6537" w:type="dxa"/>
            <w:vAlign w:val="center"/>
          </w:tcPr>
          <w:p w14:paraId="20718B0C">
            <w:pPr>
              <w:numPr>
                <w:ilvl w:val="0"/>
                <w:numId w:val="3"/>
              </w:numP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微量元素检测仪主机1台；</w:t>
            </w:r>
          </w:p>
          <w:p w14:paraId="3FD588A5">
            <w:pPr>
              <w:numPr>
                <w:ilvl w:val="0"/>
                <w:numId w:val="3"/>
              </w:numP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 xml:space="preserve">微量元素检测仪软件1套；                                                                               </w:t>
            </w:r>
          </w:p>
          <w:p w14:paraId="6014E5F2">
            <w:pPr>
              <w:numPr>
                <w:ilvl w:val="0"/>
                <w:numId w:val="3"/>
              </w:numP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空压机1台；</w:t>
            </w:r>
          </w:p>
        </w:tc>
        <w:tc>
          <w:tcPr>
            <w:tcW w:w="1900" w:type="dxa"/>
          </w:tcPr>
          <w:p w14:paraId="5402C74D">
            <w:pPr>
              <w:spacing w:line="360" w:lineRule="auto"/>
              <w:jc w:val="center"/>
              <w:rPr>
                <w:rFonts w:ascii="仿宋" w:hAnsi="仿宋" w:eastAsia="仿宋"/>
                <w:sz w:val="24"/>
              </w:rPr>
            </w:pPr>
          </w:p>
        </w:tc>
      </w:tr>
    </w:tbl>
    <w:p w14:paraId="30E32676">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sz w:val="28"/>
          <w:szCs w:val="28"/>
          <w:lang w:val="en-US" w:eastAsia="zh-CN"/>
        </w:rPr>
        <w:t>三、</w:t>
      </w:r>
      <w:r>
        <w:rPr>
          <w:rFonts w:hint="eastAsia" w:ascii="仿宋" w:hAnsi="仿宋" w:eastAsia="仿宋" w:cs="宋体"/>
          <w:kern w:val="0"/>
          <w:sz w:val="24"/>
          <w:lang w:val="en-US" w:eastAsia="zh-CN"/>
        </w:rPr>
        <w:t>★</w:t>
      </w:r>
      <w:r>
        <w:rPr>
          <w:rFonts w:hint="eastAsia" w:ascii="仿宋" w:hAnsi="仿宋" w:eastAsia="仿宋" w:cs="仿宋"/>
          <w:b/>
          <w:bCs/>
          <w:sz w:val="28"/>
          <w:szCs w:val="28"/>
          <w:lang w:val="en-US" w:eastAsia="zh-CN"/>
        </w:rPr>
        <w:t>服务要求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4FE156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1、供应商负责设备安装、调试，并提供1个月试运行期。试运行期届满，无任何质量问题供应商方可申请最终验收。其费用包含在项目报价内。</w:t>
      </w:r>
    </w:p>
    <w:p w14:paraId="6D98EA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2、供应商提供设备操作（使用）培训。保证操作（使用）人员能熟练操作（使用），并对该设备能进行日常维护，如未达到，医院有权延后支付合同所约定款项。其费用包含在项目报价内。</w:t>
      </w:r>
    </w:p>
    <w:p w14:paraId="4FD753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3、质保期内，每年提供≥4次维护保养，并出具维护保养报告。其费用包含在项目报价内。</w:t>
      </w:r>
    </w:p>
    <w:p w14:paraId="6D3E30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w:t>
      </w:r>
      <w:r>
        <w:rPr>
          <w:rFonts w:hint="default" w:ascii="仿宋" w:hAnsi="仿宋" w:eastAsia="仿宋" w:cs="仿宋"/>
          <w:kern w:val="2"/>
          <w:sz w:val="28"/>
          <w:szCs w:val="28"/>
          <w:lang w:val="en-US" w:eastAsia="zh-CN" w:bidi="ar-SA"/>
        </w:rPr>
        <w:t>、售后服务响应时间：供应商应在接到售后服务通知</w:t>
      </w:r>
      <w:r>
        <w:rPr>
          <w:rFonts w:hint="eastAsia" w:ascii="仿宋" w:hAnsi="仿宋" w:eastAsia="仿宋" w:cs="仿宋"/>
          <w:kern w:val="2"/>
          <w:sz w:val="28"/>
          <w:szCs w:val="28"/>
          <w:lang w:val="en-US" w:eastAsia="zh-CN" w:bidi="ar-SA"/>
        </w:rPr>
        <w:t>或故障电话</w:t>
      </w:r>
      <w:r>
        <w:rPr>
          <w:rFonts w:hint="default" w:ascii="仿宋" w:hAnsi="仿宋" w:eastAsia="仿宋" w:cs="仿宋"/>
          <w:kern w:val="2"/>
          <w:sz w:val="28"/>
          <w:szCs w:val="28"/>
          <w:lang w:val="en-US" w:eastAsia="zh-CN" w:bidi="ar-SA"/>
        </w:rPr>
        <w:t xml:space="preserve"> 12 小时内响应，48小时内到场维修。</w:t>
      </w:r>
    </w:p>
    <w:p w14:paraId="6116C7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default" w:ascii="仿宋" w:hAnsi="仿宋" w:eastAsia="仿宋" w:cs="仿宋"/>
          <w:color w:val="FF0000"/>
          <w:kern w:val="2"/>
          <w:sz w:val="28"/>
          <w:szCs w:val="28"/>
          <w:lang w:val="en-US" w:eastAsia="zh-CN" w:bidi="ar-SA"/>
        </w:rPr>
      </w:pPr>
      <w:r>
        <w:rPr>
          <w:rFonts w:hint="eastAsia" w:ascii="仿宋" w:hAnsi="仿宋" w:eastAsia="仿宋" w:cs="仿宋"/>
          <w:color w:val="FF0000"/>
          <w:kern w:val="2"/>
          <w:sz w:val="28"/>
          <w:szCs w:val="28"/>
          <w:lang w:val="en-US" w:eastAsia="zh-CN" w:bidi="ar-SA"/>
        </w:rPr>
        <w:t>5、供应商所提供的产品必须证照齐全、有效，所有资质材料复印件必须加盖供应商鲜章。同时供应商应关注所提供证件有效期，保证在有效期结束前一个月内及时更换证件，否则应承担相应法律责任。</w:t>
      </w:r>
    </w:p>
    <w:p w14:paraId="253C8672">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宋体"/>
          <w:kern w:val="0"/>
          <w:sz w:val="24"/>
          <w:lang w:val="en-US" w:eastAsia="zh-CN"/>
        </w:rPr>
        <w:t>★</w:t>
      </w:r>
      <w:r>
        <w:rPr>
          <w:rFonts w:hint="eastAsia" w:ascii="仿宋" w:hAnsi="仿宋" w:eastAsia="仿宋" w:cs="仿宋"/>
          <w:b/>
          <w:bCs/>
          <w:sz w:val="28"/>
          <w:szCs w:val="28"/>
          <w:lang w:val="en-US" w:eastAsia="zh-CN"/>
        </w:rPr>
        <w:t>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DF7F81A">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（一）合同履约期限</w:t>
      </w:r>
    </w:p>
    <w:p w14:paraId="093C9599">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Style w:val="9"/>
          <w:rFonts w:hint="eastAsia" w:ascii="仿宋" w:hAnsi="仿宋" w:eastAsia="仿宋" w:cs="仿宋"/>
          <w:b w:val="0"/>
          <w:bCs w:val="0"/>
          <w:i w:val="0"/>
          <w:iCs w:val="0"/>
          <w:caps w:val="0"/>
          <w:color w:val="222222"/>
          <w:spacing w:val="0"/>
          <w:sz w:val="28"/>
          <w:szCs w:val="28"/>
          <w:lang w:val="en-US" w:eastAsia="zh-CN"/>
        </w:rPr>
      </w:pPr>
      <w:r>
        <w:rPr>
          <w:rStyle w:val="9"/>
          <w:rFonts w:hint="eastAsia" w:ascii="仿宋" w:hAnsi="仿宋" w:eastAsia="仿宋" w:cs="仿宋"/>
          <w:b w:val="0"/>
          <w:bCs w:val="0"/>
          <w:i w:val="0"/>
          <w:iCs w:val="0"/>
          <w:caps w:val="0"/>
          <w:color w:val="222222"/>
          <w:spacing w:val="0"/>
          <w:sz w:val="28"/>
          <w:szCs w:val="28"/>
          <w:lang w:eastAsia="zh-CN"/>
        </w:rPr>
        <w:t>本项目</w:t>
      </w:r>
      <w:r>
        <w:rPr>
          <w:rStyle w:val="9"/>
          <w:rFonts w:hint="eastAsia" w:ascii="仿宋" w:hAnsi="仿宋" w:eastAsia="仿宋" w:cs="仿宋"/>
          <w:b w:val="0"/>
          <w:bCs w:val="0"/>
          <w:i w:val="0"/>
          <w:iCs w:val="0"/>
          <w:caps w:val="0"/>
          <w:color w:val="222222"/>
          <w:spacing w:val="0"/>
          <w:sz w:val="28"/>
          <w:szCs w:val="28"/>
          <w:lang w:val="en-US" w:eastAsia="zh-CN"/>
        </w:rPr>
        <w:t>设备</w:t>
      </w:r>
      <w:r>
        <w:rPr>
          <w:rStyle w:val="9"/>
          <w:rFonts w:hint="eastAsia" w:ascii="仿宋" w:hAnsi="仿宋" w:eastAsia="仿宋" w:cs="仿宋"/>
          <w:b w:val="0"/>
          <w:bCs w:val="0"/>
          <w:i w:val="0"/>
          <w:iCs w:val="0"/>
          <w:caps w:val="0"/>
          <w:color w:val="222222"/>
          <w:spacing w:val="0"/>
          <w:sz w:val="28"/>
          <w:szCs w:val="28"/>
          <w:lang w:eastAsia="zh-CN"/>
        </w:rPr>
        <w:t>合同履约期限为双方签字盖章生效之日起</w:t>
      </w:r>
      <w:r>
        <w:rPr>
          <w:rStyle w:val="9"/>
          <w:rFonts w:hint="eastAsia" w:ascii="仿宋" w:hAnsi="仿宋" w:eastAsia="仿宋" w:cs="仿宋"/>
          <w:b w:val="0"/>
          <w:bCs w:val="0"/>
          <w:i w:val="0"/>
          <w:iCs w:val="0"/>
          <w:caps w:val="0"/>
          <w:color w:val="222222"/>
          <w:spacing w:val="0"/>
          <w:sz w:val="28"/>
          <w:szCs w:val="28"/>
          <w:lang w:val="en-US" w:eastAsia="zh-CN"/>
        </w:rPr>
        <w:t>30日内</w:t>
      </w:r>
      <w:r>
        <w:rPr>
          <w:rStyle w:val="9"/>
          <w:rFonts w:hint="eastAsia" w:ascii="仿宋" w:hAnsi="仿宋" w:eastAsia="仿宋" w:cs="仿宋"/>
          <w:b w:val="0"/>
          <w:bCs w:val="0"/>
          <w:i w:val="0"/>
          <w:iCs w:val="0"/>
          <w:caps w:val="0"/>
          <w:color w:val="222222"/>
          <w:spacing w:val="0"/>
          <w:sz w:val="28"/>
          <w:szCs w:val="28"/>
          <w:lang w:eastAsia="zh-CN"/>
        </w:rPr>
        <w:t>，</w:t>
      </w:r>
      <w:r>
        <w:rPr>
          <w:rStyle w:val="9"/>
          <w:rFonts w:hint="eastAsia" w:ascii="仿宋" w:hAnsi="仿宋" w:eastAsia="仿宋" w:cs="仿宋"/>
          <w:b w:val="0"/>
          <w:bCs w:val="0"/>
          <w:i w:val="0"/>
          <w:iCs w:val="0"/>
          <w:caps w:val="0"/>
          <w:color w:val="222222"/>
          <w:spacing w:val="0"/>
          <w:sz w:val="28"/>
          <w:szCs w:val="28"/>
          <w:lang w:val="en-US" w:eastAsia="zh-CN"/>
        </w:rPr>
        <w:t>质保期满后</w:t>
      </w:r>
      <w:r>
        <w:rPr>
          <w:rStyle w:val="9"/>
          <w:rFonts w:hint="eastAsia" w:ascii="仿宋" w:hAnsi="仿宋" w:eastAsia="仿宋" w:cs="仿宋"/>
          <w:b w:val="0"/>
          <w:bCs w:val="0"/>
          <w:i w:val="0"/>
          <w:iCs w:val="0"/>
          <w:caps w:val="0"/>
          <w:color w:val="222222"/>
          <w:spacing w:val="0"/>
          <w:sz w:val="28"/>
          <w:szCs w:val="28"/>
          <w:lang w:eastAsia="zh-CN"/>
        </w:rPr>
        <w:t>合同自然终止。</w:t>
      </w:r>
      <w:r>
        <w:rPr>
          <w:rStyle w:val="9"/>
          <w:rFonts w:hint="eastAsia" w:ascii="仿宋" w:hAnsi="仿宋" w:eastAsia="仿宋" w:cs="仿宋"/>
          <w:b w:val="0"/>
          <w:bCs w:val="0"/>
          <w:i w:val="0"/>
          <w:iCs w:val="0"/>
          <w:caps w:val="0"/>
          <w:color w:val="222222"/>
          <w:spacing w:val="0"/>
          <w:sz w:val="28"/>
          <w:szCs w:val="28"/>
          <w:lang w:val="en-US" w:eastAsia="zh-CN"/>
        </w:rPr>
        <w:t>配套试剂耗材履约周期为三年：</w:t>
      </w:r>
      <w:sdt>
        <w:sdtPr>
          <w:rPr>
            <w:rStyle w:val="9"/>
            <w:rFonts w:hint="eastAsia" w:ascii="仿宋" w:hAnsi="仿宋" w:eastAsia="仿宋" w:cs="仿宋"/>
            <w:b w:val="0"/>
            <w:bCs w:val="0"/>
            <w:i w:val="0"/>
            <w:iCs w:val="0"/>
            <w:caps w:val="0"/>
            <w:color w:val="222222"/>
            <w:spacing w:val="0"/>
            <w:sz w:val="28"/>
            <w:szCs w:val="28"/>
            <w:lang w:val="en-US" w:eastAsia="zh-CN"/>
          </w:rPr>
          <w:id w:val="147452053"/>
          <w:placeholder>
            <w:docPart w:val="{a59e9991-25a3-4144-9cd7-b228ecaa93d4}"/>
          </w:placeholder>
          <w15:color w:val="FF0000"/>
          <w:dropDownList>
            <w:listItem w:displayText="采一签一" w:value="采一签一"/>
            <w:listItem w:displayText="采一签二" w:value="采一签二"/>
            <w:listItem w:displayText="采一签三" w:value="采一签三"/>
          </w:dropDownList>
        </w:sdtPr>
        <w:sdtEndPr>
          <w:rPr>
            <w:rStyle w:val="9"/>
            <w:rFonts w:hint="eastAsia" w:ascii="仿宋" w:hAnsi="仿宋" w:eastAsia="仿宋" w:cs="仿宋"/>
            <w:b w:val="0"/>
            <w:bCs w:val="0"/>
            <w:i w:val="0"/>
            <w:iCs w:val="0"/>
            <w:caps w:val="0"/>
            <w:color w:val="222222"/>
            <w:spacing w:val="0"/>
            <w:sz w:val="28"/>
            <w:szCs w:val="28"/>
            <w:lang w:val="en-US" w:eastAsia="zh-CN"/>
          </w:rPr>
        </w:sdtEndPr>
        <w:sdtContent>
          <w:r>
            <w:rPr>
              <w:rStyle w:val="9"/>
              <w:rFonts w:hint="eastAsia" w:ascii="仿宋" w:hAnsi="仿宋" w:eastAsia="仿宋" w:cs="仿宋"/>
              <w:b w:val="0"/>
              <w:bCs w:val="0"/>
              <w:i w:val="0"/>
              <w:iCs w:val="0"/>
              <w:caps w:val="0"/>
              <w:color w:val="222222"/>
              <w:spacing w:val="0"/>
              <w:sz w:val="28"/>
              <w:szCs w:val="28"/>
              <w:lang w:val="en-US" w:eastAsia="zh-CN"/>
            </w:rPr>
            <w:t>采一签三</w:t>
          </w:r>
        </w:sdtContent>
      </w:sdt>
      <w:r>
        <w:rPr>
          <w:rStyle w:val="9"/>
          <w:rFonts w:hint="eastAsia" w:ascii="仿宋" w:hAnsi="仿宋" w:eastAsia="仿宋" w:cs="仿宋"/>
          <w:b w:val="0"/>
          <w:bCs w:val="0"/>
          <w:i w:val="0"/>
          <w:iCs w:val="0"/>
          <w:caps w:val="0"/>
          <w:color w:val="222222"/>
          <w:spacing w:val="0"/>
          <w:sz w:val="28"/>
          <w:szCs w:val="28"/>
          <w:lang w:val="en-US" w:eastAsia="zh-CN"/>
        </w:rPr>
        <w:t>，合同金额使用完毕</w:t>
      </w:r>
      <w:bookmarkStart w:id="0" w:name="_GoBack"/>
      <w:bookmarkEnd w:id="0"/>
      <w:r>
        <w:rPr>
          <w:rStyle w:val="9"/>
          <w:rFonts w:hint="eastAsia" w:ascii="仿宋" w:hAnsi="仿宋" w:eastAsia="仿宋" w:cs="仿宋"/>
          <w:b w:val="0"/>
          <w:bCs w:val="0"/>
          <w:i w:val="0"/>
          <w:iCs w:val="0"/>
          <w:caps w:val="0"/>
          <w:color w:val="222222"/>
          <w:spacing w:val="0"/>
          <w:sz w:val="28"/>
          <w:szCs w:val="28"/>
          <w:lang w:val="en-US" w:eastAsia="zh-CN"/>
        </w:rPr>
        <w:t>或合同履行期限届满，合同自然终止。</w:t>
      </w:r>
    </w:p>
    <w:p w14:paraId="19266D7B">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（二）项目履行地点：四川省大竹县白塔街道青年路99号：大竹县人民医院医学检验科（外科医技大楼4楼）。货物交付采购人之前，货物的损毁、灭失风险由供应商承担。</w:t>
      </w:r>
    </w:p>
    <w:p w14:paraId="3A653F79">
      <w:pPr>
        <w:pStyle w:val="1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（三）付款方式</w:t>
      </w:r>
    </w:p>
    <w:p w14:paraId="1D9F77F0">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（1）设备付款：双方签订正式合同后设备安装调试完成、交付使用、验收合格、开具正式票据后，达到付款条件起15日内，支付合同总金额的90%；质保期满后，达到付款条件起15日内，支付合同总金额的10%；</w:t>
      </w:r>
    </w:p>
    <w:p w14:paraId="6E9947CE">
      <w:pPr>
        <w:pStyle w:val="3"/>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试剂耗材付款：双方签订正式合同，供应商以采购人实际需求提供合格产品，分批供货，双方据实结算，结算金额=实际用量×单价（按挂网试剂或耗材以成交单价、上月末全省医疗机构采购加权平均价、四川省最高参考价和联动参考价之价格低者执行并进行结算；非挂网试剂或耗材按合同单价执行并进行结算）。且采购人在供应商所供产品验收合格（产品无任何质量问题、证照及发票等手续齐全）使用后，按医院相关财务制度支付货款。</w:t>
      </w:r>
    </w:p>
    <w:p w14:paraId="76CC2B3D">
      <w:pPr>
        <w:pStyle w:val="3"/>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280" w:firstLineChars="1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（四）验收交付方式和标准</w:t>
      </w:r>
    </w:p>
    <w:p w14:paraId="7429F6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1、货物验收交付标准</w:t>
      </w:r>
    </w:p>
    <w:p w14:paraId="6362D5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设备验收交付标准：按国家相关法律法规、行业标准、技术规范；招标文件相关技术、服务要求、中标供应商投标文件相关响应内容；中标产品生产厂家出具的产品说明书、技术白皮书、医疗器械注册证或备案凭证等技术资料(如涉及)；如验收时双方对技术指标、质量要求等约定标准有相互抵触或异议的事项,双方须按照国家相关规定及招标文件相关技术、服务要求、中标供应商响应文件相关响应内容中质量要求和技术指标较严格的原则确定该事项的标准并进行验收。</w:t>
      </w:r>
    </w:p>
    <w:p w14:paraId="6DBC34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试剂耗材验收交付标准：验货时严格执行相关规定，有货物资质证照、随货同行清单、发票、批次检验报告等文件。进口产品还需报关单和检验检疫合格报告；随货同行清单要注明产品名称、规格、型号、商品代码、数量、单价、金额、生产企业、产品注册证号、批次、有效期、国家医保医用耗材编码及产品流水码等信息，并加盖供应商鲜章。需冷链管理的医疗器械，验收人员应核查运输过程中的温度记录，确保产品在运输过程中未出现温度异常，货到后，应立即转移至医院指定的冷藏设备中保存，并在冷链交接记录单上注明保存条件及接收温度。</w:t>
      </w:r>
    </w:p>
    <w:p w14:paraId="2B98E3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验收交付方法：（1）供应商按合同约定时间将货物交到采购人指定地点，并完成安装调试培训，验收合格后交付使用(如由于采购人的原因造成延迟交付的，时间顺延)。（2）项目验收由采购人组织，按照《财政部关于进一步加强政府采购需求和履约验收管理的指导意见》（财库[2016]205号）、《政府采购需求管理办法》财库〔2021〕22号以及国家相关规定进行验收。</w:t>
      </w:r>
    </w:p>
    <w:p w14:paraId="6F02A79F">
      <w:pPr>
        <w:pStyle w:val="3"/>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（五）货物包装、运输要求</w:t>
      </w:r>
    </w:p>
    <w:p w14:paraId="188A6911">
      <w:pPr>
        <w:keepNext w:val="0"/>
        <w:keepLines w:val="0"/>
        <w:pageBreakBefore w:val="0"/>
        <w:widowControl w:val="0"/>
        <w:kinsoku/>
        <w:wordWrap/>
        <w:overflowPunct/>
        <w:topLinePunct w:val="0"/>
        <w:autoSpaceDE/>
        <w:autoSpaceDN/>
        <w:bidi w:val="0"/>
        <w:adjustRightInd/>
        <w:snapToGrid/>
        <w:spacing w:line="520" w:lineRule="atLeas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1、中标人所出售的全部货物均应满足远距离运输、防潮、防震、防锈和防野蛮装卸等要求，确保货物安全无损运抵指定地点，符合环保和国家强制要求。</w:t>
      </w:r>
    </w:p>
    <w:p w14:paraId="5C18C09B">
      <w:pPr>
        <w:keepNext w:val="0"/>
        <w:keepLines w:val="0"/>
        <w:pageBreakBefore w:val="0"/>
        <w:widowControl w:val="0"/>
        <w:kinsoku/>
        <w:wordWrap/>
        <w:overflowPunct/>
        <w:topLinePunct w:val="0"/>
        <w:autoSpaceDE/>
        <w:autoSpaceDN/>
        <w:bidi w:val="0"/>
        <w:adjustRightInd/>
        <w:snapToGrid/>
        <w:spacing w:line="520" w:lineRule="atLeas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供货产品包装标识清楚，符合《医疗器械说明书和标签管理规定》要求，特别是进口产品一定要有中文标识。中文标识至少应包括：产品名称、型号、规格、有效期、医疗器械注册证编号或者备案凭证编号、注册人（代理人）或者生产企业的名称、住所、生产地址、联系方式及生产许可证编号等。</w:t>
      </w:r>
    </w:p>
    <w:p w14:paraId="1121FFBF">
      <w:pPr>
        <w:keepNext w:val="0"/>
        <w:keepLines w:val="0"/>
        <w:pageBreakBefore w:val="0"/>
        <w:widowControl w:val="0"/>
        <w:kinsoku/>
        <w:wordWrap/>
        <w:overflowPunct/>
        <w:topLinePunct w:val="0"/>
        <w:autoSpaceDE/>
        <w:autoSpaceDN/>
        <w:bidi w:val="0"/>
        <w:adjustRightInd/>
        <w:snapToGrid/>
        <w:spacing w:line="520" w:lineRule="atLeas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对运输、存储条件有特殊要求的货物（如冷链管理医疗器械等）需按照说明书和标签标示要求进行运输与贮存，并做好相关记录。需单独包装、且应在外包装显著位置说明运输及存储条件，以便医院收货后能按要求保存或迅速移交科室存放，否则由此造成的一切损失由乙方承担。冷链管理医疗器械根据《医疗器械冷链（运输、贮存）管理指南》（2016第154号）的相关要求执行。</w:t>
      </w:r>
    </w:p>
    <w:p w14:paraId="2A10A615">
      <w:pPr>
        <w:keepNext w:val="0"/>
        <w:keepLines w:val="0"/>
        <w:pageBreakBefore w:val="0"/>
        <w:widowControl w:val="0"/>
        <w:kinsoku/>
        <w:wordWrap/>
        <w:overflowPunct/>
        <w:topLinePunct w:val="0"/>
        <w:autoSpaceDE/>
        <w:autoSpaceDN/>
        <w:bidi w:val="0"/>
        <w:adjustRightInd/>
        <w:snapToGrid/>
        <w:spacing w:line="520" w:lineRule="atLeast"/>
        <w:ind w:firstLine="560" w:firstLineChars="200"/>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4、设备每一个包装箱内应附详细装箱清单。耗材试剂每次送货应附随货同行清单，清单按合同要求制作。</w:t>
      </w:r>
    </w:p>
    <w:p w14:paraId="5EAEDE9F">
      <w:pPr>
        <w:keepNext w:val="0"/>
        <w:keepLines w:val="0"/>
        <w:pageBreakBefore w:val="0"/>
        <w:widowControl w:val="0"/>
        <w:kinsoku/>
        <w:wordWrap/>
        <w:overflowPunct/>
        <w:topLinePunct w:val="0"/>
        <w:autoSpaceDE/>
        <w:autoSpaceDN/>
        <w:bidi w:val="0"/>
        <w:adjustRightInd/>
        <w:snapToGrid/>
        <w:spacing w:line="520" w:lineRule="atLeas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本项目涉及商品包装和快递包装的，除另有要求外，中标人所出售的货物包装应当参照财政部办公厅、生态环境部办公厅及国家邮政局办公室联合发布的《商品包装政府采购需求标准(试行)》《快递包装政府采购需求标准(试行)》等要求执行。</w:t>
      </w:r>
    </w:p>
    <w:p w14:paraId="1B231A6B">
      <w:pPr>
        <w:pStyle w:val="3"/>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6、运输费、装卸费由中标人承担。</w:t>
      </w:r>
    </w:p>
    <w:p w14:paraId="25B7C7D8">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（六）质量保修范围和保修期</w:t>
      </w:r>
    </w:p>
    <w:p w14:paraId="162B8ACD">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1、设备质保期为最终验收合格后≥</w:t>
      </w:r>
      <w:r>
        <w:rPr>
          <w:rFonts w:hint="eastAsia" w:ascii="仿宋" w:hAnsi="仿宋" w:eastAsia="仿宋" w:cs="仿宋"/>
          <w:color w:val="FF0000"/>
          <w:kern w:val="2"/>
          <w:sz w:val="28"/>
          <w:szCs w:val="28"/>
          <w:lang w:val="en-US" w:eastAsia="zh-CN" w:bidi="ar-SA"/>
        </w:rPr>
        <w:t>壹</w:t>
      </w:r>
      <w:r>
        <w:rPr>
          <w:rFonts w:hint="eastAsia" w:ascii="仿宋" w:hAnsi="仿宋" w:eastAsia="仿宋" w:cs="仿宋"/>
          <w:sz w:val="28"/>
          <w:szCs w:val="28"/>
          <w:lang w:val="en-US" w:eastAsia="zh-CN"/>
        </w:rPr>
        <w:t>年。质保期内货物质量出现问题，成交供应商应负责包修、包换、包退，费用由成交供应商负担。如需更换零配件，供应商应保证所更换的零配件与原设备相同规格和品质且是全新的零配件。质保期内如货物经供应商两次维修仍不能达到合同约定的质量标准，视作供应商未能按时交货，采购人有权退货并追究供应商的违约责任。</w:t>
      </w:r>
    </w:p>
    <w:p w14:paraId="5E6CA139">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2、设备质保期后，供应商承诺提供终身售后服务和硬件支持下的软件升级，维修仅收取零配件费用，不收上门费、服务费及差旅费等其他费用，具体运维服务费用由供方和需方协商解决。</w:t>
      </w:r>
    </w:p>
    <w:p w14:paraId="4DEFB651">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FF0000"/>
          <w:sz w:val="28"/>
          <w:szCs w:val="28"/>
          <w:lang w:val="en-US" w:eastAsia="zh-CN"/>
        </w:rPr>
        <w:t>3、在正常使用过程中，如存在试剂耗材质量问题，供应商须在价格不变的情况下无条件更换符合采购人使用要求质量更好的产品供采购人使用。如因产品质量问题导致医疗纠纷或事故，供应商必须承担全部民事赔偿、行政及刑事法律责任。</w:t>
      </w:r>
    </w:p>
    <w:p w14:paraId="4A11B515">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（七）违约责任与解决争议的方法</w:t>
      </w:r>
    </w:p>
    <w:p w14:paraId="7E9FEC0A">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违约责任：供应商必须严格按照国家相关法律法规和本采购文件要求及供应商提交的响应文件约定履行合同，按时全面履行本项目的各项义务，供应商不履行本项目义务或瑕疵履行本项目义务或延迟履行本项目义务或履行合同义务不符合合同约定的，则供应商违约。</w:t>
      </w:r>
    </w:p>
    <w:p w14:paraId="0AACBFC1">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华人民共和国民法典》合同编的法律规定，采购人有权解除合同，并要求供应商承担相应违约责任并支付相应金额的违约金。采购人有权直接从供应商的合同货款中扣除违约金，供应商因违约行为偿付的违约金不足以弥补采购人损失的，还应按采购人损失尚未弥补的部分，支付赔偿金全额赔偿采购人损失。</w:t>
      </w:r>
    </w:p>
    <w:p w14:paraId="406BCBF0">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有下列情形之一行为视为供应商违约，采购人有权按照以下条款要求供应商承担违约金及违约责任：</w:t>
      </w:r>
    </w:p>
    <w:p w14:paraId="70AA2EF4">
      <w:pPr>
        <w:pStyle w:val="3"/>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（1）项目履行期限内，供应商明确表示或者以自己的行为表明不履行本项目合同的主要义务，则供应商违约，供应商应向采购人缴纳合同总价款20%的违约金，同时采购人有权解除合同。</w:t>
      </w:r>
    </w:p>
    <w:p w14:paraId="440DCD01">
      <w:pPr>
        <w:pStyle w:val="3"/>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（2）供应商提供的货物或服务根本违约（例如提供假冒伪劣产品或以次充好），致使合同的目的不能实现的，供应商应向采购人缴纳合同总价款20%的违约金，同时采购人有权解除合同。</w:t>
      </w:r>
    </w:p>
    <w:p w14:paraId="33664E3B">
      <w:pPr>
        <w:pStyle w:val="3"/>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延迟履约，即供应商应向采购人提供的货物及服务未按合同约定时间达成的，供应商每有一次违约行为，供应商应向采购人支付违约金2000元，同时供应商经采购人催告后应继续按合同约定履行合同。合同履行期内3次延迟履约，则供应商应向采购人缴纳合同总价款20%的违约金，同时采购人有权解除合同。</w:t>
      </w:r>
    </w:p>
    <w:p w14:paraId="03177CE5">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lang w:val="en-US" w:eastAsia="zh-CN"/>
        </w:rPr>
      </w:pPr>
      <w:r>
        <w:rPr>
          <w:rFonts w:hint="eastAsia" w:ascii="仿宋" w:hAnsi="仿宋" w:eastAsia="仿宋" w:cs="仿宋"/>
          <w:sz w:val="28"/>
          <w:szCs w:val="28"/>
          <w:lang w:val="en-US" w:eastAsia="zh-CN"/>
        </w:rPr>
        <w:t>（4）供应商所供的货物或服务瑕疵违约，与采购文件要求或采购人采购需求不符的，供应商应承担修理、重作、更换、退货、减少价款或者报酬等违约责任。同时供应商每有一次违约行为，供应商应向采购人支付违约金2000元，合同履行期内供应商出现3次本款所列违约行为，供应商应向采购人支付合同总价款20%的违约金，同时采购人有权解除合同。经采购人同意后，供应商更正瑕疵违约行为后，可以继续按合同约定履行合同。</w:t>
      </w:r>
    </w:p>
    <w:p w14:paraId="22A5C3F7">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合同履行过程中因供应商及员工原因造成的一切安全事故、人身伤亡、经济损失均由供应商自行负责承担，其责任与采购人无关。如因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4A5E23E5">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解决争议：（1）在执行合同中发生的或与合同有关的争端，双方应通过友好协商解决，经协商在15天内不能达成协议时，应提交采购人所在地人民法院诉讼解决。（2）诉讼裁决应为最终决定，并对双方具有约束力。（3）除另有裁决外，诉讼费应由败诉方负担。（4）在诉讼期间，除正在进行诉讼部分外，合同其他部分继续执行。</w:t>
      </w:r>
    </w:p>
    <w:p w14:paraId="29C08C67">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lang w:val="en-US" w:eastAsia="zh-CN"/>
        </w:rPr>
      </w:pPr>
      <w:r>
        <w:rPr>
          <w:rFonts w:hint="eastAsia" w:ascii="仿宋" w:hAnsi="仿宋" w:eastAsia="仿宋" w:cs="仿宋"/>
          <w:sz w:val="28"/>
          <w:szCs w:val="28"/>
          <w:lang w:val="en-US" w:eastAsia="zh-CN"/>
        </w:rPr>
        <w:t>4、</w:t>
      </w:r>
      <w:r>
        <w:rPr>
          <w:rFonts w:hint="eastAsia" w:ascii="仿宋" w:hAnsi="仿宋" w:eastAsia="仿宋" w:cs="仿宋"/>
          <w:color w:val="auto"/>
          <w:sz w:val="28"/>
          <w:szCs w:val="28"/>
          <w:lang w:val="en-US" w:eastAsia="zh-CN"/>
        </w:rPr>
        <w:t>其他条款</w:t>
      </w:r>
      <w:r>
        <w:rPr>
          <w:rFonts w:hint="eastAsia" w:ascii="仿宋" w:hAnsi="仿宋" w:eastAsia="仿宋" w:cs="仿宋"/>
          <w:sz w:val="28"/>
          <w:szCs w:val="28"/>
          <w:highlight w:val="none"/>
          <w:lang w:val="en-US" w:eastAsia="zh-CN"/>
        </w:rPr>
        <w:t>按合同约定执行。</w:t>
      </w:r>
    </w:p>
    <w:p w14:paraId="6A0592A9">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五、</w:t>
      </w:r>
      <w:r>
        <w:rPr>
          <w:rFonts w:hint="eastAsia" w:ascii="仿宋" w:hAnsi="仿宋" w:eastAsia="仿宋" w:cs="宋体"/>
          <w:kern w:val="0"/>
          <w:sz w:val="24"/>
          <w:lang w:val="en-US" w:eastAsia="zh-CN"/>
        </w:rPr>
        <w:t>★</w:t>
      </w:r>
      <w:r>
        <w:rPr>
          <w:rFonts w:hint="eastAsia" w:ascii="仿宋" w:hAnsi="仿宋" w:eastAsia="仿宋" w:cs="仿宋"/>
          <w:b/>
          <w:bCs/>
          <w:color w:val="auto"/>
          <w:sz w:val="28"/>
          <w:szCs w:val="28"/>
          <w:lang w:val="en-US" w:eastAsia="zh-CN"/>
        </w:rPr>
        <w:t>其他要求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64249987">
      <w:pPr>
        <w:pStyle w:val="12"/>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1、本章的带“</w:t>
      </w:r>
      <w:r>
        <w:rPr>
          <w:rFonts w:hint="eastAsia" w:ascii="仿宋" w:hAnsi="仿宋" w:eastAsia="仿宋" w:cs="宋体"/>
          <w:kern w:val="0"/>
          <w:sz w:val="24"/>
          <w:lang w:val="en-US" w:eastAsia="zh-CN"/>
        </w:rPr>
        <w:t>★”</w:t>
      </w:r>
      <w:r>
        <w:rPr>
          <w:rFonts w:hint="eastAsia" w:ascii="仿宋" w:hAnsi="仿宋" w:eastAsia="仿宋" w:cs="仿宋"/>
          <w:sz w:val="28"/>
          <w:szCs w:val="28"/>
          <w:highlight w:val="none"/>
          <w:lang w:val="en-US" w:eastAsia="zh-CN"/>
        </w:rPr>
        <w:t>内容为本次采购项目的实质性要求，不允许有负偏离。</w:t>
      </w:r>
    </w:p>
    <w:p w14:paraId="306606AE">
      <w:pPr>
        <w:pStyle w:val="12"/>
        <w:spacing w:line="560" w:lineRule="exact"/>
        <w:ind w:firstLine="560"/>
        <w:rPr>
          <w:rFonts w:hint="eastAsia" w:ascii="仿宋" w:hAnsi="仿宋" w:eastAsia="仿宋" w:cs="仿宋"/>
          <w:b/>
          <w:bCs/>
          <w:sz w:val="28"/>
          <w:szCs w:val="28"/>
          <w:lang w:val="en-US" w:eastAsia="zh-CN"/>
        </w:rPr>
      </w:pPr>
      <w:r>
        <w:rPr>
          <w:rFonts w:hint="eastAsia" w:ascii="仿宋" w:hAnsi="仿宋" w:eastAsia="仿宋" w:cs="仿宋"/>
          <w:sz w:val="28"/>
          <w:szCs w:val="28"/>
          <w:highlight w:val="none"/>
          <w:lang w:val="en-US" w:eastAsia="zh-CN"/>
        </w:rPr>
        <w:t>2、本章内容中有明确的证明材料要求的应提供对应证明材料，否则视为负偏离。</w:t>
      </w:r>
    </w:p>
    <w:p w14:paraId="6D2561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3EA0C9"/>
    <w:multiLevelType w:val="singleLevel"/>
    <w:tmpl w:val="FF3EA0C9"/>
    <w:lvl w:ilvl="0" w:tentative="0">
      <w:start w:val="1"/>
      <w:numFmt w:val="chineseCounting"/>
      <w:suff w:val="nothing"/>
      <w:lvlText w:val="%1、"/>
      <w:lvlJc w:val="left"/>
      <w:rPr>
        <w:rFonts w:hint="eastAsia"/>
      </w:rPr>
    </w:lvl>
  </w:abstractNum>
  <w:abstractNum w:abstractNumId="1">
    <w:nsid w:val="2B30C08A"/>
    <w:multiLevelType w:val="singleLevel"/>
    <w:tmpl w:val="2B30C08A"/>
    <w:lvl w:ilvl="0" w:tentative="0">
      <w:start w:val="1"/>
      <w:numFmt w:val="decimal"/>
      <w:suff w:val="nothing"/>
      <w:lvlText w:val="%1、"/>
      <w:lvlJc w:val="left"/>
    </w:lvl>
  </w:abstractNum>
  <w:abstractNum w:abstractNumId="2">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BA2"/>
    <w:rsid w:val="000E1703"/>
    <w:rsid w:val="00521821"/>
    <w:rsid w:val="009F4EE6"/>
    <w:rsid w:val="00E11BA2"/>
    <w:rsid w:val="00E858DB"/>
    <w:rsid w:val="01D105A7"/>
    <w:rsid w:val="253043DD"/>
    <w:rsid w:val="6FF3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6"/>
    <w:basedOn w:val="1"/>
    <w:next w:val="1"/>
    <w:link w:val="10"/>
    <w:qFormat/>
    <w:uiPriority w:val="99"/>
    <w:pPr>
      <w:spacing w:before="100" w:beforeAutospacing="1" w:after="100" w:afterAutospacing="1"/>
      <w:jc w:val="left"/>
      <w:outlineLvl w:val="5"/>
    </w:pPr>
    <w:rPr>
      <w:rFonts w:ascii="宋体" w:hAnsi="宋体" w:cs="宋体"/>
      <w:b/>
      <w:bCs/>
      <w:kern w:val="0"/>
      <w:sz w:val="15"/>
      <w:szCs w:val="15"/>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11"/>
    <w:unhideWhenUsed/>
    <w:qFormat/>
    <w:uiPriority w:val="99"/>
    <w:pPr>
      <w:spacing w:before="100" w:beforeAutospacing="1" w:after="120"/>
    </w:pPr>
  </w:style>
  <w:style w:type="paragraph" w:styleId="4">
    <w:name w:val="Normal (Web)"/>
    <w:basedOn w:val="1"/>
    <w:unhideWhenUsed/>
    <w:qFormat/>
    <w:uiPriority w:val="0"/>
    <w:pPr>
      <w:widowControl/>
      <w:spacing w:before="100" w:beforeAutospacing="1" w:after="100" w:afterAutospacing="1"/>
      <w:jc w:val="left"/>
    </w:pPr>
    <w:rPr>
      <w:rFonts w:ascii="宋体" w:hAnsi="宋体"/>
      <w:kern w:val="0"/>
      <w:sz w:val="24"/>
    </w:rPr>
  </w:style>
  <w:style w:type="paragraph" w:styleId="5">
    <w:name w:val="Body Text First Indent"/>
    <w:basedOn w:val="3"/>
    <w:link w:val="19"/>
    <w:semiHidden/>
    <w:unhideWhenUsed/>
    <w:qFormat/>
    <w:uiPriority w:val="99"/>
    <w:pPr>
      <w:spacing w:before="0" w:beforeAutospacing="0"/>
      <w:ind w:firstLine="420" w:firstLineChars="1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标题 6 Char"/>
    <w:basedOn w:val="8"/>
    <w:link w:val="2"/>
    <w:qFormat/>
    <w:uiPriority w:val="99"/>
    <w:rPr>
      <w:rFonts w:ascii="宋体" w:hAnsi="宋体" w:eastAsia="宋体" w:cs="宋体"/>
      <w:b/>
      <w:bCs/>
      <w:kern w:val="0"/>
      <w:sz w:val="15"/>
      <w:szCs w:val="15"/>
    </w:rPr>
  </w:style>
  <w:style w:type="character" w:customStyle="1" w:styleId="11">
    <w:name w:val="正文文本 Char"/>
    <w:basedOn w:val="8"/>
    <w:link w:val="3"/>
    <w:qFormat/>
    <w:uiPriority w:val="99"/>
    <w:rPr>
      <w:rFonts w:ascii="Times New Roman" w:hAnsi="Times New Roman" w:eastAsia="宋体" w:cs="Times New Roman"/>
      <w:szCs w:val="21"/>
    </w:rPr>
  </w:style>
  <w:style w:type="paragraph" w:customStyle="1" w:styleId="12">
    <w:name w:val="List Paragraph"/>
    <w:basedOn w:val="1"/>
    <w:qFormat/>
    <w:uiPriority w:val="0"/>
    <w:pPr>
      <w:ind w:firstLine="420" w:firstLineChars="200"/>
    </w:pPr>
  </w:style>
  <w:style w:type="paragraph" w:customStyle="1" w:styleId="13">
    <w:name w:val="null3"/>
    <w:basedOn w:val="1"/>
    <w:qFormat/>
    <w:uiPriority w:val="0"/>
    <w:pPr>
      <w:widowControl/>
      <w:jc w:val="left"/>
    </w:pPr>
    <w:rPr>
      <w:rFonts w:ascii="Calibri" w:hAnsi="Calibri"/>
      <w:kern w:val="0"/>
      <w:sz w:val="24"/>
      <w:szCs w:val="24"/>
    </w:rPr>
  </w:style>
  <w:style w:type="paragraph" w:customStyle="1" w:styleId="14">
    <w:name w:val="正文_1"/>
    <w:basedOn w:val="1"/>
    <w:next w:val="15"/>
    <w:qFormat/>
    <w:uiPriority w:val="0"/>
    <w:pPr>
      <w:spacing w:line="480" w:lineRule="exact"/>
    </w:pPr>
  </w:style>
  <w:style w:type="paragraph" w:customStyle="1" w:styleId="15">
    <w:name w:val="正文_2"/>
    <w:next w:val="1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标题 5（有编号）（绿盟科技）"/>
    <w:basedOn w:val="15"/>
    <w:next w:val="17"/>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7">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18">
    <w:name w:val="15"/>
    <w:basedOn w:val="8"/>
    <w:qFormat/>
    <w:uiPriority w:val="0"/>
    <w:rPr>
      <w:rFonts w:hint="default" w:ascii="Calibri" w:hAnsi="Calibri" w:cs="Calibri"/>
      <w:b/>
    </w:rPr>
  </w:style>
  <w:style w:type="character" w:customStyle="1" w:styleId="19">
    <w:name w:val="正文首行缩进 Char"/>
    <w:basedOn w:val="11"/>
    <w:link w:val="5"/>
    <w:semiHidden/>
    <w:qFormat/>
    <w:uiPriority w:val="99"/>
    <w:rPr>
      <w:rFonts w:ascii="Times New Roman" w:hAnsi="Times New Roman" w:eastAsia="宋体" w:cs="Times New Roman"/>
      <w:szCs w:val="21"/>
    </w:rPr>
  </w:style>
  <w:style w:type="paragraph" w:customStyle="1" w:styleId="20">
    <w:name w:val="产品相关信息"/>
    <w:basedOn w:val="1"/>
    <w:qFormat/>
    <w:uiPriority w:val="0"/>
    <w:rPr>
      <w:rFonts w:ascii="宋体" w:hAnsi="宋体" w:eastAsia="宋体" w:cs="宋体"/>
      <w:lang w:val="en-US" w:eastAsia="uk-UA"/>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59e9991-25a3-4144-9cd7-b228ecaa93d4}"/>
        <w:style w:val=""/>
        <w:category>
          <w:name w:val="常规"/>
          <w:gallery w:val="placeholder"/>
        </w:category>
        <w:types>
          <w:type w:val="bbPlcHdr"/>
        </w:types>
        <w:behaviors>
          <w:behavior w:val="content"/>
        </w:behaviors>
        <w:description w:val=""/>
        <w:guid w:val="{a59e9991-25a3-4144-9cd7-b228ecaa93d4}"/>
      </w:docPartPr>
      <w:docPartBody>
        <w:p w14:paraId="6557DE0F">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4623</Words>
  <Characters>4742</Characters>
  <Lines>62</Lines>
  <Paragraphs>17</Paragraphs>
  <TotalTime>1</TotalTime>
  <ScaleCrop>false</ScaleCrop>
  <LinksUpToDate>false</LinksUpToDate>
  <CharactersWithSpaces>4833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2026-01-04T09:20:00Z</dcterms:created>
  <dc:creator>PC</dc:creator>
  <cp:lastModifiedBy>周云霞</cp:lastModifiedBy>
  <dcterms:modified xsi:type="dcterms:W3CDTF">2026-03-30T02:00:41Z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eyJoZGlkIjoiYzlkMmZkYmE5MjIyMjVmOTNjMjM2NjBkYzIyMmEyMDUiLCJ1c2VySWQiOiIzNTI2ODc0MzAifQ==</vt:lpwstr>
  </property>
  <property fmtid="{D5CDD505-2E9C-101B-9397-08002B2CF9AE}" pid="3" name="KSOProductBuildVer">
    <vt:lpwstr>2052-12.1.0.25225</vt:lpwstr>
  </property>
  <property fmtid="{D5CDD505-2E9C-101B-9397-08002B2CF9AE}" pid="4" name="ICV">
    <vt:lpwstr>C905E25E26F24CB3B18770373C1CBF17_12</vt:lpwstr>
  </property>
</Properties>
</file>