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35F30">
      <w:pPr>
        <w:pStyle w:val="10"/>
        <w:spacing w:line="560" w:lineRule="exact"/>
        <w:ind w:firstLine="562"/>
        <w:jc w:val="center"/>
        <w:rPr>
          <w:rFonts w:hint="default" w:ascii="仿宋" w:hAnsi="仿宋" w:eastAsia="仿宋"/>
          <w:b/>
          <w:sz w:val="28"/>
          <w:szCs w:val="28"/>
          <w:lang w:val="en-US"/>
        </w:rPr>
      </w:pPr>
      <w:r>
        <w:rPr>
          <w:rFonts w:hint="eastAsia" w:ascii="黑体" w:hAnsi="黑体" w:eastAsia="黑体" w:cs="黑体"/>
          <w:b/>
          <w:bCs/>
          <w:kern w:val="0"/>
          <w:sz w:val="28"/>
          <w:szCs w:val="28"/>
          <w:highlight w:val="none"/>
          <w:lang w:val="en-US" w:eastAsia="zh-CN" w:bidi="ar"/>
        </w:rPr>
        <w:t>大竹县人民医院一次性卫生纸采购项目(第二次)采购需求</w:t>
      </w:r>
    </w:p>
    <w:p w14:paraId="6BA624E3">
      <w:pPr>
        <w:pStyle w:val="2"/>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项目概况</w:t>
      </w:r>
    </w:p>
    <w:p w14:paraId="5BAE1D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301" w:firstLineChars="200"/>
        <w:jc w:val="left"/>
        <w:textAlignment w:val="auto"/>
        <w:rPr>
          <w:rFonts w:hint="default"/>
          <w:lang w:val="en-US" w:eastAsia="zh-CN"/>
        </w:rPr>
      </w:pPr>
      <w:r>
        <w:rPr>
          <w:rFonts w:hint="eastAsia"/>
          <w:lang w:val="en-US" w:eastAsia="zh-CN"/>
        </w:rPr>
        <w:t xml:space="preserve">     </w:t>
      </w:r>
      <w:r>
        <w:rPr>
          <w:rStyle w:val="7"/>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t>本项目目的是采购一次性卫生纸，以满足采购人日常运转及全体职工的工作需求。本项目履约期内采购人均不会一次性大批量购买货物，本项目是院内日常办公需求产生的每月零星货物购置。</w:t>
      </w:r>
    </w:p>
    <w:p w14:paraId="090C3D9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二、采购内容及技术要求</w:t>
      </w:r>
    </w:p>
    <w:p w14:paraId="5939A346">
      <w:pPr>
        <w:pStyle w:val="11"/>
        <w:keepNext w:val="0"/>
        <w:keepLines w:val="0"/>
        <w:pageBreakBefore w:val="0"/>
        <w:widowControl/>
        <w:kinsoku/>
        <w:wordWrap/>
        <w:overflowPunct/>
        <w:topLinePunct w:val="0"/>
        <w:autoSpaceDE/>
        <w:autoSpaceDN/>
        <w:bidi w:val="0"/>
        <w:adjustRightInd/>
        <w:snapToGrid/>
        <w:spacing w:line="520" w:lineRule="exact"/>
        <w:ind w:firstLine="280" w:firstLineChars="1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（一）采购内容</w:t>
      </w:r>
    </w:p>
    <w:p w14:paraId="5744A361">
      <w:pPr>
        <w:pStyle w:val="11"/>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00F88214">
      <w:pPr>
        <w:pStyle w:val="11"/>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95024.10</w:t>
      </w:r>
    </w:p>
    <w:p w14:paraId="60CA604F">
      <w:pPr>
        <w:pStyle w:val="11"/>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采购包最高限价（元）:</w:t>
      </w:r>
      <w:r>
        <w:rPr>
          <w:rFonts w:hint="eastAsia" w:ascii="仿宋" w:hAnsi="仿宋" w:eastAsia="仿宋" w:cs="仿宋"/>
          <w:color w:val="FF0000"/>
          <w:kern w:val="2"/>
          <w:sz w:val="28"/>
          <w:szCs w:val="28"/>
          <w:highlight w:val="none"/>
          <w:lang w:val="en-US" w:eastAsia="zh-CN" w:bidi="ar-SA"/>
        </w:rPr>
        <w:t>95024.10</w:t>
      </w:r>
    </w:p>
    <w:p w14:paraId="0EBA0B39">
      <w:pPr>
        <w:pStyle w:val="11"/>
        <w:jc w:val="left"/>
        <w:rPr>
          <w:rFonts w:hint="default" w:ascii="仿宋" w:hAnsi="仿宋" w:eastAsia="仿宋" w:cs="仿宋"/>
          <w:color w:val="FF0000"/>
          <w:kern w:val="2"/>
          <w:sz w:val="28"/>
          <w:szCs w:val="28"/>
          <w:highlight w:val="none"/>
          <w:lang w:val="en-US" w:eastAsia="zh-CN" w:bidi="ar-SA"/>
        </w:rPr>
      </w:pPr>
    </w:p>
    <w:tbl>
      <w:tblPr>
        <w:tblStyle w:val="5"/>
        <w:tblW w:w="5315" w:type="pct"/>
        <w:jc w:val="center"/>
        <w:tblLayout w:type="fixed"/>
        <w:tblCellMar>
          <w:top w:w="0" w:type="dxa"/>
          <w:left w:w="10" w:type="dxa"/>
          <w:bottom w:w="0" w:type="dxa"/>
          <w:right w:w="10" w:type="dxa"/>
        </w:tblCellMar>
      </w:tblPr>
      <w:tblGrid>
        <w:gridCol w:w="488"/>
        <w:gridCol w:w="1853"/>
        <w:gridCol w:w="4768"/>
        <w:gridCol w:w="754"/>
        <w:gridCol w:w="1197"/>
      </w:tblGrid>
      <w:tr w14:paraId="5129F655">
        <w:trPr>
          <w:cantSplit/>
          <w:trHeight w:val="1221" w:hRule="exact"/>
          <w:jc w:val="center"/>
        </w:trPr>
        <w:tc>
          <w:tcPr>
            <w:tcW w:w="26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866798">
            <w:pPr>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02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EDA734">
            <w:pPr>
              <w:keepNext w:val="0"/>
              <w:keepLines w:val="0"/>
              <w:widowControl/>
              <w:suppressLineNumbers w:val="0"/>
              <w:jc w:val="center"/>
              <w:textAlignment w:val="center"/>
              <w:rPr>
                <w:rFonts w:hint="default" w:ascii="仿宋" w:hAnsi="仿宋" w:eastAsia="仿宋" w:cs="仿宋"/>
                <w:b/>
                <w:color w:val="auto"/>
                <w:sz w:val="24"/>
                <w:szCs w:val="24"/>
                <w:lang w:val="en-US"/>
              </w:rPr>
            </w:pPr>
            <w:r>
              <w:rPr>
                <w:rFonts w:hint="eastAsia" w:ascii="仿宋" w:hAnsi="仿宋" w:eastAsia="仿宋" w:cs="仿宋"/>
                <w:b/>
                <w:bCs/>
                <w:i w:val="0"/>
                <w:iCs w:val="0"/>
                <w:color w:val="auto"/>
                <w:kern w:val="0"/>
                <w:sz w:val="24"/>
                <w:szCs w:val="24"/>
                <w:u w:val="none"/>
                <w:lang w:val="en-US" w:eastAsia="zh-CN" w:bidi="ar"/>
              </w:rPr>
              <w:t>品目名称</w:t>
            </w:r>
          </w:p>
        </w:tc>
        <w:tc>
          <w:tcPr>
            <w:tcW w:w="263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AAA206">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主要技术要求</w:t>
            </w:r>
          </w:p>
        </w:tc>
        <w:tc>
          <w:tcPr>
            <w:tcW w:w="41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C6EC4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单位</w:t>
            </w:r>
          </w:p>
        </w:tc>
        <w:tc>
          <w:tcPr>
            <w:tcW w:w="66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A7571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品目单价</w:t>
            </w:r>
          </w:p>
          <w:p w14:paraId="70134C0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/最高限价</w:t>
            </w:r>
          </w:p>
          <w:p w14:paraId="00EF9438">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（元）</w:t>
            </w:r>
          </w:p>
        </w:tc>
      </w:tr>
      <w:tr w14:paraId="1F20D3DE">
        <w:tblPrEx>
          <w:tblCellMar>
            <w:top w:w="0" w:type="dxa"/>
            <w:left w:w="10" w:type="dxa"/>
            <w:bottom w:w="0" w:type="dxa"/>
            <w:right w:w="10" w:type="dxa"/>
          </w:tblCellMar>
        </w:tblPrEx>
        <w:trPr>
          <w:cantSplit/>
          <w:trHeight w:val="332" w:hRule="atLeast"/>
          <w:jc w:val="center"/>
        </w:trPr>
        <w:tc>
          <w:tcPr>
            <w:tcW w:w="26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6E38A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27D5B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压花散片手帕纸巾</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FBDF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用途：用于擦拭非创伤患者的体表，不能掉纸屑，不掉灰尘等杂质，吸水后不易烂。</w:t>
            </w:r>
          </w:p>
          <w:p w14:paraId="483EDB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 xml:space="preserve"> 约20斤一箱，坚韧纸箱包装，内有一层柔韧塑料袋密封，高温消毒、干净卫生。</w:t>
            </w:r>
          </w:p>
          <w:p w14:paraId="3617EC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尺寸：每张纸展开后210mm×200mm/抽（2层），每斤纸约500抽左右。</w:t>
            </w:r>
          </w:p>
          <w:p w14:paraId="7A32BB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细菌菌落总数≤200 CFU/g</w:t>
            </w:r>
          </w:p>
          <w:p w14:paraId="2F4B56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不得检出大肠菌群、金黄色葡萄球菌、溶血性链球菌、绿脓菌。</w:t>
            </w:r>
          </w:p>
          <w:p w14:paraId="3782A1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真菌菌落总数≤100 CFU / g</w:t>
            </w:r>
          </w:p>
          <w:p w14:paraId="38D0F3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纸张采用原生木浆制造，不含荧光增白剂，安全无添加，具有良好的吸水性，透气性，韧性十足，不易拉断，纸巾密度均匀，柔软舒适，不能掉纸屑，不掉灰尘等杂质。</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C33CD1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斤</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47DCF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4.6</w:t>
            </w:r>
          </w:p>
        </w:tc>
      </w:tr>
      <w:tr w14:paraId="265A542F">
        <w:tblPrEx>
          <w:tblCellMar>
            <w:top w:w="0" w:type="dxa"/>
            <w:left w:w="10" w:type="dxa"/>
            <w:bottom w:w="0" w:type="dxa"/>
            <w:right w:w="10" w:type="dxa"/>
          </w:tblCellMar>
        </w:tblPrEx>
        <w:trPr>
          <w:cantSplit/>
          <w:trHeight w:val="341" w:hRule="atLeast"/>
          <w:jc w:val="center"/>
        </w:trPr>
        <w:tc>
          <w:tcPr>
            <w:tcW w:w="26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5B5BD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D2F11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面巾抽纸</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6D27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用途：用于内镜中心对消毒清洁后的腔镜进行擦拭，不能掉纸屑，不掉灰尘等杂质，吸水后不易烂，可做洗脸巾。</w:t>
            </w:r>
          </w:p>
          <w:p w14:paraId="2A117E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规格：175mm×116mm/（4层）</w:t>
            </w:r>
          </w:p>
          <w:p w14:paraId="5EF11E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净含量：70抽/包</w:t>
            </w:r>
          </w:p>
          <w:p w14:paraId="1D4210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纸张4层加厚，易撕扯，坚韧纸箱包装，每包小抽纸独立密封包装，包装开口易打开，干净卫生。</w:t>
            </w:r>
          </w:p>
          <w:p w14:paraId="14EFAB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细菌菌落总数≤200 CFU/g</w:t>
            </w:r>
          </w:p>
          <w:p w14:paraId="71FB7B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不得检出大肠菌群、金黄色葡萄球菌、溶血性链球菌、绿脓菌。</w:t>
            </w:r>
          </w:p>
          <w:p w14:paraId="1928EB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真菌菌落总数≤100 CFU /g</w:t>
            </w:r>
          </w:p>
          <w:p w14:paraId="06F2B2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面巾纸采用优质竹木等做原材料，具有良好的吸水性，透气性，具有抑菌作用。</w:t>
            </w:r>
          </w:p>
          <w:p w14:paraId="5A00DE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不含荧光增白剂，安全无添加，具有良好的吸水性，透气性，韧性十足，不易拉断，纸巾密度均匀，柔软舒适，不能掉纸屑，不掉灰尘等杂质。</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107A9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包</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A2706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1.4</w:t>
            </w:r>
          </w:p>
        </w:tc>
      </w:tr>
      <w:tr w14:paraId="769EE8B8">
        <w:tblPrEx>
          <w:tblCellMar>
            <w:top w:w="0" w:type="dxa"/>
            <w:left w:w="10" w:type="dxa"/>
            <w:bottom w:w="0" w:type="dxa"/>
            <w:right w:w="10" w:type="dxa"/>
          </w:tblCellMar>
        </w:tblPrEx>
        <w:trPr>
          <w:cantSplit/>
          <w:trHeight w:val="327" w:hRule="atLeast"/>
          <w:jc w:val="center"/>
        </w:trPr>
        <w:tc>
          <w:tcPr>
            <w:tcW w:w="26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74FC9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D99CA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公厕大卷纸</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C415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每个大卷纸700克，长度约220米，</w:t>
            </w:r>
          </w:p>
          <w:p w14:paraId="0FD00E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每个大卷纸净重不低于650克/个，单卷直径约24cm，采用50克小纸芯。纸张四层加厚，断点清晰，易撕扯，</w:t>
            </w:r>
          </w:p>
          <w:p w14:paraId="6106D2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坚韧纸箱包装，每卷纸独立塑封包装，高温消毒、干净卫生。</w:t>
            </w:r>
          </w:p>
          <w:p w14:paraId="7C90D2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纸张采用原生木浆制造，不含荧光增白剂，安全无添加，具有良好的吸水性，透气性，韧性十足，不易拉断，纸巾密度均匀，柔软舒适，不能掉纸屑，不掉灰尘等杂质。</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F1F75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个</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D7016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6.9</w:t>
            </w:r>
          </w:p>
        </w:tc>
      </w:tr>
      <w:tr w14:paraId="71737157">
        <w:tblPrEx>
          <w:tblCellMar>
            <w:top w:w="0" w:type="dxa"/>
            <w:left w:w="10" w:type="dxa"/>
            <w:bottom w:w="0" w:type="dxa"/>
            <w:right w:w="10" w:type="dxa"/>
          </w:tblCellMar>
        </w:tblPrEx>
        <w:trPr>
          <w:cantSplit/>
          <w:trHeight w:val="90" w:hRule="atLeast"/>
          <w:jc w:val="center"/>
        </w:trPr>
        <w:tc>
          <w:tcPr>
            <w:tcW w:w="26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90F35B">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4</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8A95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散装成钞纸</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FAD0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用途：用于患者超声检查后，擦拭耦合剂。</w:t>
            </w:r>
          </w:p>
          <w:p w14:paraId="79723E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散装，外包装为坚韧纸箱包装，每提纸捆扎便携，外有一层柔韧塑料袋密封，高温消毒、干净卫生。</w:t>
            </w:r>
          </w:p>
          <w:p w14:paraId="3B4D36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尺寸：每张纸21cm×22cm/抽（单层），每斤纸约500抽左右。</w:t>
            </w:r>
          </w:p>
          <w:p w14:paraId="268D0D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纸张采用原生木浆制造，不含荧光增白剂，安全无添加，具有良好的吸水性，透气性，韧性十足，不易拉断，纸巾密度均匀，柔软舒适，不能掉纸屑，不掉灰尘等杂质。</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2932A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斤</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F04E7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7.1</w:t>
            </w:r>
          </w:p>
        </w:tc>
      </w:tr>
      <w:tr w14:paraId="502DF445">
        <w:tblPrEx>
          <w:tblCellMar>
            <w:top w:w="0" w:type="dxa"/>
            <w:left w:w="10" w:type="dxa"/>
            <w:bottom w:w="0" w:type="dxa"/>
            <w:right w:w="10" w:type="dxa"/>
          </w:tblCellMar>
        </w:tblPrEx>
        <w:trPr>
          <w:cantSplit/>
          <w:trHeight w:val="327" w:hRule="atLeast"/>
          <w:jc w:val="center"/>
        </w:trPr>
        <w:tc>
          <w:tcPr>
            <w:tcW w:w="26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A2DAEC">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5</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9C5BA0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压纹印花卷筒纸</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F0F8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每个小卷筒纸净重不低于160克/个，纸张尺寸：102mm×125mm/节（4层）</w:t>
            </w:r>
          </w:p>
          <w:p w14:paraId="27157C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坚韧纸箱包装，每卷纸独立塑封包装，每12卷一提塑料密封外包装，高温消毒、干净卫生。</w:t>
            </w:r>
          </w:p>
          <w:p w14:paraId="7D1383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纸张四层加厚，断点清晰，易撕扯。</w:t>
            </w:r>
          </w:p>
          <w:p w14:paraId="3D3652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纸张采用原生木浆制造，不含荧光增白剂，安全无添加，具有良好的吸水性、透气性，韧性十足，不易拉断，纸巾密度均匀，柔软舒适，不能掉纸屑，不掉灰尘等杂质。</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1AEED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个</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E2DE4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1.6</w:t>
            </w:r>
          </w:p>
        </w:tc>
      </w:tr>
      <w:tr w14:paraId="0D0D9FDA">
        <w:tblPrEx>
          <w:tblCellMar>
            <w:top w:w="0" w:type="dxa"/>
            <w:left w:w="10" w:type="dxa"/>
            <w:bottom w:w="0" w:type="dxa"/>
            <w:right w:w="10" w:type="dxa"/>
          </w:tblCellMar>
        </w:tblPrEx>
        <w:trPr>
          <w:cantSplit/>
          <w:trHeight w:val="327" w:hRule="atLeast"/>
          <w:jc w:val="center"/>
        </w:trPr>
        <w:tc>
          <w:tcPr>
            <w:tcW w:w="26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8BC067">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6</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5E6A1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擦嘴抽纸</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9A9AF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规格：173mm×173mm/（3层）</w:t>
            </w:r>
          </w:p>
          <w:p w14:paraId="1C09EB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净含量：75抽/包</w:t>
            </w:r>
          </w:p>
          <w:p w14:paraId="0F3DA9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坚韧纸箱包装，每包小抽纸独立密封包装，包装开口易打开，干净卫生。</w:t>
            </w:r>
          </w:p>
          <w:p w14:paraId="6BEB48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要求：细菌菌落总数≤200 CFU/g</w:t>
            </w:r>
          </w:p>
          <w:p w14:paraId="2D33AB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不得检出大肠菌群、金黄色葡萄球菌、溶血性链球菌、绿脓菌。</w:t>
            </w:r>
          </w:p>
          <w:p w14:paraId="2DFAC2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真菌菌落总数≤100 CFU / g</w:t>
            </w:r>
          </w:p>
          <w:p w14:paraId="4E695D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采用优质竹木等做原材料，具有良好的吸水性、透气性，且具有抑菌作用。</w:t>
            </w:r>
          </w:p>
          <w:p w14:paraId="735E41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不含荧光增白剂，安全无添加，具有良好的吸水性，透气性，韧性十足，不易拉断，纸巾密度均匀，柔软舒适，不能掉纸屑，不掉灰尘等杂质。</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8575B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包</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E1763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0.8</w:t>
            </w:r>
          </w:p>
        </w:tc>
      </w:tr>
      <w:tr w14:paraId="328895EE">
        <w:tblPrEx>
          <w:tblCellMar>
            <w:top w:w="0" w:type="dxa"/>
            <w:left w:w="10" w:type="dxa"/>
            <w:bottom w:w="0" w:type="dxa"/>
            <w:right w:w="10" w:type="dxa"/>
          </w:tblCellMar>
        </w:tblPrEx>
        <w:trPr>
          <w:cantSplit/>
          <w:trHeight w:val="327" w:hRule="atLeast"/>
          <w:jc w:val="center"/>
        </w:trPr>
        <w:tc>
          <w:tcPr>
            <w:tcW w:w="26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19B0BB">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7</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CF0294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彩色花纹硬纸盒包装抽纸</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CFAD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用途：会议使用，必须提供心相印、洁柔、维达、清风等一线品牌纸品</w:t>
            </w:r>
          </w:p>
          <w:p w14:paraId="68A8B5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规格：190mm×210mm/抽（2层）</w:t>
            </w:r>
          </w:p>
          <w:p w14:paraId="35820F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净含量：200抽</w:t>
            </w:r>
          </w:p>
          <w:p w14:paraId="66FBBE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采用坚韧纸箱包装，每盒抽纸独立密封包装，包装开口为撕拉式、易打开，干净卫生，湿水不易烂。包装外观颜色淡雅，简洁大方。</w:t>
            </w:r>
          </w:p>
          <w:p w14:paraId="1F816E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有淡淡香味，纸巾表面有精美的压花，纸张采用原生木浆制造，不含荧光增白剂，安全无添加，具有良好的吸水性、透气性，韧性十足，不易拉断，纸巾密度均匀，柔软舒适，不能掉纸屑，不掉灰尘等杂质。</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40A37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盒</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C453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4.6</w:t>
            </w:r>
          </w:p>
        </w:tc>
      </w:tr>
      <w:tr w14:paraId="2862EBA3">
        <w:tblPrEx>
          <w:tblCellMar>
            <w:top w:w="0" w:type="dxa"/>
            <w:left w:w="10" w:type="dxa"/>
            <w:bottom w:w="0" w:type="dxa"/>
            <w:right w:w="10" w:type="dxa"/>
          </w:tblCellMar>
        </w:tblPrEx>
        <w:trPr>
          <w:cantSplit/>
          <w:trHeight w:val="327" w:hRule="atLeast"/>
          <w:jc w:val="center"/>
        </w:trPr>
        <w:tc>
          <w:tcPr>
            <w:tcW w:w="26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BDC6D4">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8</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E0173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袋装抽纸</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E590E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规格：195mm×135mm/抽（3层）</w:t>
            </w:r>
          </w:p>
          <w:p w14:paraId="180B74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净含量：150抽/包</w:t>
            </w:r>
          </w:p>
          <w:p w14:paraId="61F413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坚韧纸箱包装，每包抽纸独立密封包装，包装开口撕拉式、易打开，干净卫生，湿水不易烂。</w:t>
            </w:r>
          </w:p>
          <w:p w14:paraId="655293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细菌菌落总数≤200 CFU/g</w:t>
            </w:r>
          </w:p>
          <w:p w14:paraId="74CC5E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不得检出大肠菌群、金黄色葡萄球菌、溶血性链球菌、绿脓菌、</w:t>
            </w:r>
          </w:p>
          <w:p w14:paraId="29ED17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真菌菌落总数≤100 CFU / g</w:t>
            </w:r>
          </w:p>
          <w:p w14:paraId="7F1092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纸巾表面有精美的压花，纸张采用原生木浆制造，不含荧光增白剂，安全无添加，具有良好的吸水性，透气性，韧性十足，不易拉断，纸巾密度均匀，柔软舒适，不能掉纸屑，不掉灰尘等杂质。</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E78E6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包</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8BF3C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3</w:t>
            </w:r>
          </w:p>
        </w:tc>
      </w:tr>
      <w:tr w14:paraId="7F42574E">
        <w:tblPrEx>
          <w:tblCellMar>
            <w:top w:w="0" w:type="dxa"/>
            <w:left w:w="10" w:type="dxa"/>
            <w:bottom w:w="0" w:type="dxa"/>
            <w:right w:w="10" w:type="dxa"/>
          </w:tblCellMar>
        </w:tblPrEx>
        <w:trPr>
          <w:cantSplit/>
          <w:trHeight w:val="327" w:hRule="atLeast"/>
          <w:jc w:val="center"/>
        </w:trPr>
        <w:tc>
          <w:tcPr>
            <w:tcW w:w="26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3DEDE6">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9</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BACA3C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钱夹手帕纸</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66E9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用途：会议使用，必须提供心相印、洁柔、维达、清风等一线品牌纸品</w:t>
            </w:r>
          </w:p>
          <w:p w14:paraId="0BBC42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规格：190mm×210mm/抽（3层）</w:t>
            </w:r>
          </w:p>
          <w:p w14:paraId="2A5101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净含量：8片/包</w:t>
            </w:r>
          </w:p>
          <w:p w14:paraId="0998AA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每包抽纸独立钱夹式外包装，包装可反复贴合、易打开，干净卫生，湿水不易烂。包装采用素色外观，简洁大方。</w:t>
            </w:r>
          </w:p>
          <w:p w14:paraId="613E2C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可做洗面巾，淡淡香味，纸巾表面有精美的压花，纸张采用原生木浆制造，不含荧光增白剂，安全无添加，具有良好的吸水性，透气性，韧性十足，不易拉断，纸巾密度均匀，柔软舒适，不能掉纸屑，不掉灰尘等杂质。</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7D2AC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包</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BD6AD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0.8</w:t>
            </w:r>
          </w:p>
        </w:tc>
      </w:tr>
      <w:tr w14:paraId="62D65D60">
        <w:tblPrEx>
          <w:tblCellMar>
            <w:top w:w="0" w:type="dxa"/>
            <w:left w:w="10" w:type="dxa"/>
            <w:bottom w:w="0" w:type="dxa"/>
            <w:right w:w="10" w:type="dxa"/>
          </w:tblCellMar>
        </w:tblPrEx>
        <w:trPr>
          <w:cantSplit/>
          <w:trHeight w:val="327" w:hRule="atLeast"/>
          <w:jc w:val="center"/>
        </w:trPr>
        <w:tc>
          <w:tcPr>
            <w:tcW w:w="26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2B5DB3">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10</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DCC7F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独立片状湿巾纸</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2443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用途：会议使用，必须提供心相印、洁柔、维达、清风等一线品牌纸品</w:t>
            </w:r>
          </w:p>
          <w:p w14:paraId="31798C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无酒精、不刺激，</w:t>
            </w:r>
          </w:p>
          <w:p w14:paraId="433753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规格：180×170mm</w:t>
            </w:r>
          </w:p>
          <w:p w14:paraId="04ED6E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10片/包（每片均具有独立包装）</w:t>
            </w:r>
          </w:p>
          <w:p w14:paraId="71B23B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无纺布厚实柔韧，亲肤细腻，含丰富纯净水。</w:t>
            </w:r>
          </w:p>
          <w:p w14:paraId="0045D9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符合GB/T27728湿巾纸标准。</w:t>
            </w:r>
          </w:p>
          <w:p w14:paraId="3A990A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符合GB15979一次性使用卫生用品卫生标准。</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6642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包</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2DC1D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2.5</w:t>
            </w:r>
          </w:p>
        </w:tc>
      </w:tr>
      <w:tr w14:paraId="3F061B8A">
        <w:tblPrEx>
          <w:tblCellMar>
            <w:top w:w="0" w:type="dxa"/>
            <w:left w:w="10" w:type="dxa"/>
            <w:bottom w:w="0" w:type="dxa"/>
            <w:right w:w="10" w:type="dxa"/>
          </w:tblCellMar>
        </w:tblPrEx>
        <w:trPr>
          <w:cantSplit/>
          <w:trHeight w:val="327" w:hRule="atLeast"/>
          <w:jc w:val="center"/>
        </w:trPr>
        <w:tc>
          <w:tcPr>
            <w:tcW w:w="26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68E88B">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11</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49803A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大包带塑料盖湿纸巾</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F93C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用途：母婴休息室使用，必须提供心相印、洁柔、维达、清风等一线品牌纸品</w:t>
            </w:r>
          </w:p>
          <w:p w14:paraId="7B3632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无酒精、不刺激，</w:t>
            </w:r>
          </w:p>
          <w:p w14:paraId="5E27DC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规格：180×200mm</w:t>
            </w:r>
          </w:p>
          <w:p w14:paraId="083F13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80抽/包（每包开口除可反复粘贴的封口，还要有可反复开合的塑料盖）</w:t>
            </w:r>
          </w:p>
          <w:p w14:paraId="35B80E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无纺布厚实柔韧，亲肤细腻，含丰富纯净水，低敏配方，可直接接触婴儿皮肤。</w:t>
            </w:r>
          </w:p>
          <w:p w14:paraId="099026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符合GB/T27728湿巾纸标准。</w:t>
            </w:r>
          </w:p>
          <w:p w14:paraId="6746A8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符合GB15979一次性使用卫生用品卫生标准。</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8C40D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包</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44725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13.6</w:t>
            </w:r>
          </w:p>
        </w:tc>
      </w:tr>
      <w:tr w14:paraId="7BB2DF3E">
        <w:tblPrEx>
          <w:tblCellMar>
            <w:top w:w="0" w:type="dxa"/>
            <w:left w:w="10" w:type="dxa"/>
            <w:bottom w:w="0" w:type="dxa"/>
            <w:right w:w="10" w:type="dxa"/>
          </w:tblCellMar>
        </w:tblPrEx>
        <w:trPr>
          <w:cantSplit/>
          <w:trHeight w:val="327" w:hRule="atLeast"/>
          <w:jc w:val="center"/>
        </w:trPr>
        <w:tc>
          <w:tcPr>
            <w:tcW w:w="26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5F0BD9">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12</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A481C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单层加厚压花擦手纸</w:t>
            </w:r>
          </w:p>
        </w:tc>
        <w:tc>
          <w:tcPr>
            <w:tcW w:w="263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8941C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严密纸箱包装，每包纸均用塑料袋严密分装，干净卫生，每包开口易撕扯。</w:t>
            </w:r>
          </w:p>
          <w:p w14:paraId="5ACBBD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尺寸：每张纸展开后225mm×230mm/抽，每箱纸20包，每包纸200抽，单层加厚。</w:t>
            </w:r>
          </w:p>
          <w:p w14:paraId="0ACD98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纸巾表面有精美的浮点立体印花，纸张采用原生木浆制造，不含荧光增白剂，安全无添加，具有良好的吸水性、透气性，韧性十足，不易拉断，纸巾密度均匀，柔软舒适，不掉纸屑、灰尘等杂质。</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6028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包</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DA066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4.3</w:t>
            </w:r>
          </w:p>
        </w:tc>
      </w:tr>
    </w:tbl>
    <w:p w14:paraId="04DD8CE8">
      <w:pPr>
        <w:pageBreakBefore w:val="0"/>
        <w:numPr>
          <w:ilvl w:val="0"/>
          <w:numId w:val="3"/>
        </w:numPr>
        <w:kinsoku/>
        <w:wordWrap/>
        <w:overflowPunct/>
        <w:topLinePunct w:val="0"/>
        <w:autoSpaceDE/>
        <w:autoSpaceDN/>
        <w:bidi w:val="0"/>
        <w:adjustRightInd/>
        <w:snapToGrid/>
        <w:spacing w:beforeLines="50" w:afterLines="50" w:line="560" w:lineRule="exact"/>
        <w:ind w:firstLine="280" w:firstLineChars="100"/>
        <w:outlineLvl w:val="1"/>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本项目技术要求</w:t>
      </w:r>
    </w:p>
    <w:p w14:paraId="2F02307E">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所供货物须符合或优于采购人提出的技术参数要求，除纸品尺寸外不得出现负偏离。若响应文件未明确技术标准，则以国家及行业最新规定为准，包括货物质保期。所有货物必须满足或高于国家环保要求。</w:t>
      </w:r>
    </w:p>
    <w:p w14:paraId="1EF7ED1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2、纸品尺寸允许偏差，但不得影响采购人正常使用。如尺寸不符合使用习惯，供应商须负责更换。</w:t>
      </w:r>
    </w:p>
    <w:p w14:paraId="18A53C1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应妥善包装货物，确保防尘、防潮、防污染，包装材料应无毒、无害、清洁，具有足够的密封性和牢固性，便于堆叠码放。运输须使用洁净工具，防止污染。如因运输或保管不当导致货物损坏或变质，供应商须负责更换。</w:t>
      </w:r>
    </w:p>
    <w:p w14:paraId="3C042BA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4、湿巾纸质保期为2年，其余纸品质保期为3年。</w:t>
      </w:r>
    </w:p>
    <w:p w14:paraId="2BD7240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5、纸品技术指标要求如下：</w:t>
      </w:r>
    </w:p>
    <w:p w14:paraId="2E83DD27">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亮度（白度）符合国标（印花、本色纸除外），不得检出可迁移性荧光增白剂；</w:t>
      </w:r>
    </w:p>
    <w:p w14:paraId="1BB58297">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横向吸液高度 ≥ 30 mm/100s；</w:t>
      </w:r>
    </w:p>
    <w:p w14:paraId="6D66E090">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柔软度纵横向平均 ≤ 220 mN；</w:t>
      </w:r>
    </w:p>
    <w:p w14:paraId="52C44CF0">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细菌菌落总数 ≤ 400 CFU/g；</w:t>
      </w:r>
    </w:p>
    <w:p w14:paraId="14EA015D">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真菌菌落总数 ≤ 100 CFU/g；</w:t>
      </w:r>
    </w:p>
    <w:p w14:paraId="4A2F4790">
      <w:pPr>
        <w:pStyle w:val="2"/>
        <w:keepNext w:val="0"/>
        <w:keepLines w:val="0"/>
        <w:pageBreakBefore w:val="0"/>
        <w:widowControl w:val="0"/>
        <w:kinsoku/>
        <w:wordWrap/>
        <w:overflowPunct/>
        <w:topLinePunct w:val="0"/>
        <w:autoSpaceDE/>
        <w:autoSpaceDN/>
        <w:bidi w:val="0"/>
        <w:adjustRightInd/>
        <w:snapToGrid/>
        <w:spacing w:after="0" w:line="540" w:lineRule="exact"/>
        <w:ind w:left="279" w:leftChars="133"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不得检出大肠菌群、金黄色葡萄球菌、溶血性链球菌、绿脓菌。</w:t>
      </w:r>
    </w:p>
    <w:p w14:paraId="476704A3">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6、纸品外观须整洁，符合卫生用品固有性状，无异味、异物及其他缺陷，不得对皮肤及黏膜产生刺激、过敏或损害。具体要求如下：</w:t>
      </w:r>
    </w:p>
    <w:p w14:paraId="4650766C">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表面无油污、尘土、霉变等异物；</w:t>
      </w:r>
    </w:p>
    <w:p w14:paraId="64465B1D">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表面平整洁净、质地均匀，无洞眼（迎光观测单层纸品，洞眼直径不得大于5mm）；</w:t>
      </w:r>
    </w:p>
    <w:p w14:paraId="043BD8CF">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一般为平板或平切折叠；</w:t>
      </w:r>
    </w:p>
    <w:p w14:paraId="3F811FC9">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可压花、印花，颜色应为白色，不得使用有害染料；</w:t>
      </w:r>
    </w:p>
    <w:p w14:paraId="10DA272A">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皱纹均匀细腻，无疙瘩、残块、破损、沙子、硬质块、生浆团等纸病；</w:t>
      </w:r>
    </w:p>
    <w:p w14:paraId="3C68B0E2">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无掉粉、掉毛现象，浸水后不褪色；</w:t>
      </w:r>
    </w:p>
    <w:p w14:paraId="4318FD05">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不得使用有毒有害原料，须采用木材、竹子等原生纤维，禁止使用回收纸、纸制品及脱墨剂。</w:t>
      </w:r>
    </w:p>
    <w:p w14:paraId="1DD89AD3">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报价方式</w:t>
      </w:r>
    </w:p>
    <w:p w14:paraId="5F84960F">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textAlignment w:val="auto"/>
        <w:outlineLvl w:val="1"/>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color w:val="auto"/>
          <w:sz w:val="28"/>
          <w:szCs w:val="28"/>
        </w:rPr>
        <w:t>本项目总预算不变，</w:t>
      </w:r>
      <w:r>
        <w:rPr>
          <w:rFonts w:hint="eastAsia" w:ascii="仿宋" w:hAnsi="仿宋" w:eastAsia="仿宋" w:cs="仿宋"/>
          <w:sz w:val="28"/>
          <w:szCs w:val="28"/>
          <w:lang w:eastAsia="zh-CN"/>
        </w:rPr>
        <w:t>供应商</w:t>
      </w:r>
      <w:r>
        <w:rPr>
          <w:rFonts w:hint="eastAsia" w:ascii="仿宋" w:hAnsi="仿宋" w:eastAsia="仿宋" w:cs="仿宋"/>
          <w:sz w:val="28"/>
          <w:szCs w:val="28"/>
          <w:lang w:val="en-US" w:eastAsia="zh-CN"/>
        </w:rPr>
        <w:t>报价为</w:t>
      </w:r>
      <w:r>
        <w:rPr>
          <w:rFonts w:hint="eastAsia" w:ascii="仿宋" w:hAnsi="仿宋" w:eastAsia="仿宋" w:cs="仿宋"/>
          <w:sz w:val="28"/>
          <w:szCs w:val="28"/>
          <w:lang w:eastAsia="zh-CN"/>
        </w:rPr>
        <w:t>本</w:t>
      </w:r>
      <w:r>
        <w:rPr>
          <w:rFonts w:hint="eastAsia" w:ascii="仿宋" w:hAnsi="仿宋" w:eastAsia="仿宋" w:cs="仿宋"/>
          <w:sz w:val="28"/>
          <w:szCs w:val="28"/>
          <w:lang w:val="en-US" w:eastAsia="zh-CN"/>
        </w:rPr>
        <w:t>响应文件第四章第二条“采购内容”表中品目</w:t>
      </w:r>
      <w:r>
        <w:rPr>
          <w:rFonts w:hint="eastAsia" w:ascii="仿宋" w:hAnsi="仿宋" w:eastAsia="仿宋" w:cs="仿宋"/>
          <w:sz w:val="28"/>
          <w:szCs w:val="28"/>
          <w:lang w:eastAsia="zh-CN"/>
        </w:rPr>
        <w:t>单价</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最高限价的</w:t>
      </w:r>
      <w:r>
        <w:rPr>
          <w:rFonts w:hint="eastAsia" w:ascii="仿宋" w:hAnsi="仿宋" w:eastAsia="仿宋" w:cs="仿宋"/>
          <w:sz w:val="28"/>
          <w:szCs w:val="28"/>
          <w:lang w:val="en-US" w:eastAsia="zh-CN"/>
        </w:rPr>
        <w:t>统一</w:t>
      </w:r>
      <w:r>
        <w:rPr>
          <w:rFonts w:hint="eastAsia" w:ascii="仿宋" w:hAnsi="仿宋" w:eastAsia="仿宋" w:cs="仿宋"/>
          <w:sz w:val="28"/>
          <w:szCs w:val="28"/>
          <w:lang w:eastAsia="zh-CN"/>
        </w:rPr>
        <w:t>折扣率。</w:t>
      </w:r>
      <w:r>
        <w:rPr>
          <w:rFonts w:hint="eastAsia" w:ascii="仿宋" w:hAnsi="仿宋" w:eastAsia="仿宋" w:cs="仿宋"/>
          <w:b/>
          <w:bCs/>
          <w:color w:val="auto"/>
          <w:sz w:val="28"/>
          <w:szCs w:val="28"/>
          <w:lang w:val="en-US" w:eastAsia="zh-CN"/>
        </w:rPr>
        <w:t>供应商报价只报一个唯一折扣率，</w:t>
      </w:r>
      <w:r>
        <w:rPr>
          <w:rFonts w:hint="eastAsia" w:ascii="仿宋" w:hAnsi="仿宋" w:eastAsia="仿宋" w:cs="仿宋"/>
          <w:b/>
          <w:bCs/>
          <w:color w:val="auto"/>
          <w:sz w:val="28"/>
          <w:szCs w:val="28"/>
          <w:lang w:eastAsia="zh-CN"/>
        </w:rPr>
        <w:t>本项目所有货物采购价格均按此</w:t>
      </w:r>
      <w:r>
        <w:rPr>
          <w:rFonts w:hint="eastAsia" w:ascii="仿宋" w:hAnsi="仿宋" w:eastAsia="仿宋" w:cs="仿宋"/>
          <w:b/>
          <w:bCs/>
          <w:color w:val="auto"/>
          <w:sz w:val="28"/>
          <w:szCs w:val="28"/>
          <w:lang w:val="en-US" w:eastAsia="zh-CN"/>
        </w:rPr>
        <w:t>唯一</w:t>
      </w:r>
      <w:r>
        <w:rPr>
          <w:rFonts w:hint="eastAsia" w:ascii="仿宋" w:hAnsi="仿宋" w:eastAsia="仿宋" w:cs="仿宋"/>
          <w:b/>
          <w:bCs/>
          <w:color w:val="auto"/>
          <w:sz w:val="28"/>
          <w:szCs w:val="28"/>
          <w:lang w:eastAsia="zh-CN"/>
        </w:rPr>
        <w:t>折扣率执行，</w:t>
      </w:r>
      <w:r>
        <w:rPr>
          <w:rFonts w:hint="eastAsia" w:ascii="仿宋" w:hAnsi="仿宋" w:eastAsia="仿宋" w:cs="仿宋"/>
          <w:b/>
          <w:bCs/>
          <w:sz w:val="28"/>
          <w:szCs w:val="28"/>
          <w:lang w:eastAsia="zh-CN"/>
        </w:rPr>
        <w:t>项目合同履行期内折扣率不</w:t>
      </w:r>
      <w:r>
        <w:rPr>
          <w:rFonts w:hint="eastAsia" w:ascii="仿宋" w:hAnsi="仿宋" w:eastAsia="仿宋" w:cs="仿宋"/>
          <w:b/>
          <w:bCs/>
          <w:sz w:val="28"/>
          <w:szCs w:val="28"/>
          <w:lang w:val="en-US" w:eastAsia="zh-CN"/>
        </w:rPr>
        <w:t>能</w:t>
      </w:r>
      <w:r>
        <w:rPr>
          <w:rFonts w:hint="eastAsia" w:ascii="仿宋" w:hAnsi="仿宋" w:eastAsia="仿宋" w:cs="仿宋"/>
          <w:b/>
          <w:bCs/>
          <w:sz w:val="28"/>
          <w:szCs w:val="28"/>
          <w:lang w:eastAsia="zh-CN"/>
        </w:rPr>
        <w:t>变动。</w:t>
      </w:r>
      <w:r>
        <w:rPr>
          <w:rFonts w:hint="eastAsia" w:ascii="仿宋" w:hAnsi="仿宋" w:eastAsia="仿宋" w:cs="仿宋"/>
          <w:sz w:val="28"/>
          <w:szCs w:val="28"/>
          <w:lang w:val="en-US" w:eastAsia="zh-CN"/>
        </w:rPr>
        <w:t>供应商本次报价，折扣率必须小于或等于100%，否则视为无效报价。（</w:t>
      </w:r>
      <w:r>
        <w:rPr>
          <w:rFonts w:hint="eastAsia" w:ascii="仿宋" w:hAnsi="仿宋" w:eastAsia="仿宋" w:cs="仿宋"/>
          <w:sz w:val="28"/>
          <w:szCs w:val="28"/>
          <w:lang w:eastAsia="zh-CN"/>
        </w:rPr>
        <w:t>注：折扣率</w:t>
      </w:r>
      <w:r>
        <w:rPr>
          <w:rFonts w:hint="eastAsia" w:ascii="仿宋" w:hAnsi="仿宋" w:eastAsia="仿宋" w:cs="仿宋"/>
          <w:sz w:val="28"/>
          <w:szCs w:val="28"/>
          <w:lang w:val="en-US" w:eastAsia="zh-CN"/>
        </w:rPr>
        <w:t>必须是一个固定整数值，如92%；</w:t>
      </w:r>
      <w:r>
        <w:rPr>
          <w:rFonts w:hint="eastAsia" w:ascii="仿宋" w:hAnsi="仿宋" w:eastAsia="仿宋" w:cs="仿宋"/>
          <w:sz w:val="28"/>
          <w:szCs w:val="28"/>
          <w:lang w:eastAsia="zh-CN"/>
        </w:rPr>
        <w:t>折扣率</w:t>
      </w:r>
      <w:r>
        <w:rPr>
          <w:rFonts w:hint="eastAsia" w:ascii="仿宋" w:hAnsi="仿宋" w:eastAsia="仿宋" w:cs="仿宋"/>
          <w:sz w:val="28"/>
          <w:szCs w:val="28"/>
          <w:lang w:val="en-US" w:eastAsia="zh-CN"/>
        </w:rPr>
        <w:t>不得含小数点，如92.5%；</w:t>
      </w:r>
      <w:r>
        <w:rPr>
          <w:rFonts w:hint="eastAsia" w:ascii="仿宋" w:hAnsi="仿宋" w:eastAsia="仿宋" w:cs="仿宋"/>
          <w:sz w:val="28"/>
          <w:szCs w:val="28"/>
          <w:lang w:eastAsia="zh-CN"/>
        </w:rPr>
        <w:t>折扣率</w:t>
      </w:r>
      <w:r>
        <w:rPr>
          <w:rFonts w:hint="eastAsia" w:ascii="仿宋" w:hAnsi="仿宋" w:eastAsia="仿宋" w:cs="仿宋"/>
          <w:sz w:val="28"/>
          <w:szCs w:val="28"/>
          <w:lang w:val="en-US" w:eastAsia="zh-CN"/>
        </w:rPr>
        <w:t>不得为区间值，如以“92.5%～94%”进行报价，否则均将视为无效报价</w:t>
      </w:r>
      <w:r>
        <w:rPr>
          <w:rFonts w:hint="eastAsia" w:ascii="仿宋" w:hAnsi="仿宋" w:eastAsia="仿宋" w:cs="仿宋"/>
          <w:sz w:val="28"/>
          <w:szCs w:val="28"/>
          <w:lang w:eastAsia="zh-CN"/>
        </w:rPr>
        <w:t>）。</w:t>
      </w:r>
    </w:p>
    <w:p w14:paraId="42FF8D2B">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textAlignment w:val="auto"/>
        <w:outlineLvl w:val="1"/>
        <w:rPr>
          <w:rFonts w:hint="eastAsia" w:ascii="仿宋" w:hAnsi="仿宋" w:eastAsia="仿宋" w:cs="仿宋"/>
          <w:color w:val="auto"/>
          <w:sz w:val="28"/>
          <w:szCs w:val="28"/>
        </w:rPr>
      </w:pPr>
      <w:r>
        <w:rPr>
          <w:rFonts w:hint="eastAsia" w:ascii="仿宋" w:hAnsi="仿宋" w:eastAsia="仿宋" w:cs="仿宋"/>
          <w:color w:val="auto"/>
          <w:sz w:val="28"/>
          <w:szCs w:val="28"/>
        </w:rPr>
        <w:t>例：采购人当月需要的</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包括</w:t>
      </w:r>
      <w:r>
        <w:rPr>
          <w:rFonts w:hint="eastAsia" w:ascii="仿宋" w:hAnsi="仿宋" w:eastAsia="仿宋" w:cs="仿宋"/>
          <w:color w:val="auto"/>
          <w:sz w:val="28"/>
          <w:szCs w:val="28"/>
          <w:lang w:val="en-US" w:eastAsia="zh-CN"/>
        </w:rPr>
        <w:t>NO1货物及NO2货物</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NO1货物</w:t>
      </w:r>
      <w:r>
        <w:rPr>
          <w:rFonts w:hint="eastAsia" w:ascii="仿宋" w:hAnsi="仿宋" w:eastAsia="仿宋" w:cs="仿宋"/>
          <w:color w:val="auto"/>
          <w:sz w:val="28"/>
          <w:szCs w:val="28"/>
        </w:rPr>
        <w:t>最高限价为X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NO2货物</w:t>
      </w:r>
      <w:r>
        <w:rPr>
          <w:rFonts w:hint="eastAsia" w:ascii="仿宋" w:hAnsi="仿宋" w:eastAsia="仿宋" w:cs="仿宋"/>
          <w:color w:val="auto"/>
          <w:sz w:val="28"/>
          <w:szCs w:val="28"/>
        </w:rPr>
        <w:t>最高限价为X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采购数量以当月实际需要数量为准。</w:t>
      </w:r>
    </w:p>
    <w:p w14:paraId="1B89AFE2">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textAlignment w:val="auto"/>
        <w:outlineLvl w:val="1"/>
        <w:rPr>
          <w:rFonts w:hint="eastAsia" w:ascii="仿宋" w:hAnsi="仿宋" w:eastAsia="仿宋" w:cs="仿宋"/>
          <w:color w:val="auto"/>
          <w:sz w:val="28"/>
          <w:szCs w:val="28"/>
        </w:rPr>
      </w:pPr>
      <w:r>
        <w:rPr>
          <w:rFonts w:hint="eastAsia" w:ascii="仿宋" w:hAnsi="仿宋" w:eastAsia="仿宋" w:cs="仿宋"/>
          <w:color w:val="auto"/>
          <w:sz w:val="28"/>
          <w:szCs w:val="28"/>
        </w:rPr>
        <w:t>若成交供应商报价折扣率为</w:t>
      </w:r>
      <w:r>
        <w:rPr>
          <w:rFonts w:hint="eastAsia" w:ascii="仿宋" w:hAnsi="仿宋" w:eastAsia="仿宋" w:cs="仿宋"/>
          <w:color w:val="auto"/>
          <w:sz w:val="28"/>
          <w:szCs w:val="28"/>
          <w:lang w:val="en-US" w:eastAsia="zh-CN"/>
        </w:rPr>
        <w:t>95</w:t>
      </w:r>
      <w:r>
        <w:rPr>
          <w:rFonts w:hint="eastAsia" w:ascii="仿宋" w:hAnsi="仿宋" w:eastAsia="仿宋" w:cs="仿宋"/>
          <w:color w:val="auto"/>
          <w:sz w:val="28"/>
          <w:szCs w:val="28"/>
        </w:rPr>
        <w:t>%，则成交供应商当月结算金额为=</w:t>
      </w:r>
      <w:r>
        <w:rPr>
          <w:rFonts w:hint="eastAsia" w:ascii="仿宋" w:hAnsi="仿宋" w:eastAsia="仿宋" w:cs="仿宋"/>
          <w:color w:val="auto"/>
          <w:sz w:val="28"/>
          <w:szCs w:val="28"/>
          <w:lang w:val="en-US" w:eastAsia="zh-CN"/>
        </w:rPr>
        <w:t>NO1货物</w:t>
      </w:r>
      <w:r>
        <w:rPr>
          <w:rFonts w:hint="eastAsia" w:ascii="仿宋" w:hAnsi="仿宋" w:eastAsia="仿宋" w:cs="仿宋"/>
          <w:color w:val="auto"/>
          <w:sz w:val="28"/>
          <w:szCs w:val="28"/>
        </w:rPr>
        <w:t>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（单价最高限价）</w:t>
      </w:r>
      <w:r>
        <w:rPr>
          <w:rFonts w:hint="eastAsia" w:ascii="仿宋" w:hAnsi="仿宋" w:eastAsia="仿宋" w:cs="仿宋"/>
          <w:color w:val="auto"/>
          <w:spacing w:val="-14"/>
          <w:sz w:val="28"/>
          <w:szCs w:val="28"/>
        </w:rPr>
        <w:t>×9</w:t>
      </w:r>
      <w:r>
        <w:rPr>
          <w:rFonts w:hint="eastAsia" w:ascii="仿宋" w:hAnsi="仿宋" w:eastAsia="仿宋" w:cs="仿宋"/>
          <w:color w:val="auto"/>
          <w:spacing w:val="-14"/>
          <w:sz w:val="28"/>
          <w:szCs w:val="28"/>
          <w:lang w:val="en-US" w:eastAsia="zh-CN"/>
        </w:rPr>
        <w:t>5</w:t>
      </w:r>
      <w:r>
        <w:rPr>
          <w:rFonts w:hint="eastAsia" w:ascii="仿宋" w:hAnsi="仿宋" w:eastAsia="仿宋" w:cs="仿宋"/>
          <w:color w:val="auto"/>
          <w:spacing w:val="-14"/>
          <w:sz w:val="28"/>
          <w:szCs w:val="28"/>
        </w:rPr>
        <w:t>%（成交供应商报价折扣率）×当月采购人实际需要数量</w:t>
      </w:r>
      <w:r>
        <w:rPr>
          <w:rFonts w:hint="eastAsia" w:ascii="宋体" w:hAnsi="宋体" w:eastAsia="宋体" w:cs="宋体"/>
          <w:color w:val="auto"/>
          <w:spacing w:val="-14"/>
          <w:sz w:val="28"/>
          <w:szCs w:val="28"/>
        </w:rPr>
        <w:t>＋</w:t>
      </w:r>
      <w:r>
        <w:rPr>
          <w:rFonts w:hint="eastAsia" w:ascii="仿宋" w:hAnsi="仿宋" w:eastAsia="仿宋" w:cs="仿宋"/>
          <w:color w:val="auto"/>
          <w:spacing w:val="-14"/>
          <w:sz w:val="28"/>
          <w:szCs w:val="28"/>
          <w:lang w:val="en-US" w:eastAsia="zh-CN"/>
        </w:rPr>
        <w:t>NO2货物</w:t>
      </w:r>
      <w:r>
        <w:rPr>
          <w:rFonts w:hint="eastAsia" w:ascii="仿宋" w:hAnsi="仿宋" w:eastAsia="仿宋" w:cs="仿宋"/>
          <w:color w:val="auto"/>
          <w:sz w:val="28"/>
          <w:szCs w:val="28"/>
        </w:rPr>
        <w:t>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（单价最高限价）</w:t>
      </w:r>
      <w:r>
        <w:rPr>
          <w:rFonts w:hint="eastAsia" w:ascii="仿宋" w:hAnsi="仿宋" w:eastAsia="仿宋" w:cs="仿宋"/>
          <w:color w:val="auto"/>
          <w:spacing w:val="-14"/>
          <w:sz w:val="28"/>
          <w:szCs w:val="28"/>
        </w:rPr>
        <w:t>×9</w:t>
      </w:r>
      <w:r>
        <w:rPr>
          <w:rFonts w:hint="eastAsia" w:ascii="仿宋" w:hAnsi="仿宋" w:eastAsia="仿宋" w:cs="仿宋"/>
          <w:color w:val="auto"/>
          <w:spacing w:val="-14"/>
          <w:sz w:val="28"/>
          <w:szCs w:val="28"/>
          <w:lang w:val="en-US" w:eastAsia="zh-CN"/>
        </w:rPr>
        <w:t>5</w:t>
      </w:r>
      <w:r>
        <w:rPr>
          <w:rFonts w:hint="eastAsia" w:ascii="仿宋" w:hAnsi="仿宋" w:eastAsia="仿宋" w:cs="仿宋"/>
          <w:color w:val="auto"/>
          <w:spacing w:val="-14"/>
          <w:sz w:val="28"/>
          <w:szCs w:val="28"/>
        </w:rPr>
        <w:t>%（成交供应商报价折扣率）×当月采购人实际需要数量</w:t>
      </w:r>
      <w:r>
        <w:rPr>
          <w:rFonts w:hint="eastAsia" w:ascii="宋体" w:hAnsi="宋体" w:eastAsia="宋体" w:cs="宋体"/>
          <w:color w:val="auto"/>
          <w:spacing w:val="-14"/>
          <w:sz w:val="28"/>
          <w:szCs w:val="28"/>
        </w:rPr>
        <w:t>＋</w:t>
      </w:r>
      <w:r>
        <w:rPr>
          <w:rFonts w:hint="eastAsia" w:ascii="仿宋" w:hAnsi="仿宋" w:eastAsia="仿宋" w:cs="仿宋"/>
          <w:color w:val="auto"/>
          <w:sz w:val="28"/>
          <w:szCs w:val="28"/>
        </w:rPr>
        <w:t>… N</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品名单价最高限价</w:t>
      </w:r>
      <w:r>
        <w:rPr>
          <w:rFonts w:hint="eastAsia" w:ascii="仿宋" w:hAnsi="仿宋" w:eastAsia="仿宋" w:cs="仿宋"/>
          <w:color w:val="auto"/>
          <w:spacing w:val="-14"/>
          <w:sz w:val="28"/>
          <w:szCs w:val="28"/>
        </w:rPr>
        <w:t>×</w:t>
      </w:r>
      <w:r>
        <w:rPr>
          <w:rFonts w:hint="eastAsia" w:ascii="仿宋" w:hAnsi="仿宋" w:eastAsia="仿宋" w:cs="仿宋"/>
          <w:color w:val="auto"/>
          <w:sz w:val="28"/>
          <w:szCs w:val="28"/>
        </w:rPr>
        <w:t>9</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pacing w:val="-14"/>
          <w:sz w:val="28"/>
          <w:szCs w:val="28"/>
        </w:rPr>
        <w:t>×当月采购人实际需要数量。</w:t>
      </w:r>
    </w:p>
    <w:p w14:paraId="7787EAE0">
      <w:pPr>
        <w:pStyle w:val="12"/>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 w:val="0"/>
          <w:bCs/>
          <w:sz w:val="28"/>
          <w:szCs w:val="28"/>
        </w:rPr>
      </w:pPr>
      <w:r>
        <w:rPr>
          <w:rFonts w:hint="eastAsia" w:ascii="仿宋" w:hAnsi="仿宋" w:eastAsia="仿宋" w:cs="仿宋"/>
          <w:color w:val="auto"/>
          <w:sz w:val="28"/>
          <w:szCs w:val="28"/>
        </w:rPr>
        <w:t>2、</w:t>
      </w:r>
      <w:r>
        <w:rPr>
          <w:rFonts w:hint="eastAsia" w:ascii="仿宋" w:hAnsi="仿宋" w:eastAsia="仿宋" w:cs="仿宋"/>
          <w:b w:val="0"/>
          <w:bCs w:val="0"/>
          <w:sz w:val="28"/>
          <w:szCs w:val="28"/>
        </w:rPr>
        <w:t>本项目</w:t>
      </w:r>
      <w:r>
        <w:rPr>
          <w:rFonts w:hint="eastAsia" w:ascii="仿宋" w:hAnsi="仿宋" w:eastAsia="仿宋" w:cs="仿宋"/>
          <w:b w:val="0"/>
          <w:bCs/>
          <w:sz w:val="28"/>
          <w:szCs w:val="28"/>
        </w:rPr>
        <w:t>供应商所报的投标报价</w:t>
      </w:r>
      <w:r>
        <w:rPr>
          <w:rFonts w:hint="eastAsia" w:ascii="仿宋" w:hAnsi="仿宋" w:eastAsia="仿宋" w:cs="仿宋"/>
          <w:b w:val="0"/>
          <w:bCs/>
          <w:sz w:val="28"/>
          <w:szCs w:val="28"/>
          <w:lang w:eastAsia="zh-CN"/>
        </w:rPr>
        <w:t>（</w:t>
      </w:r>
      <w:r>
        <w:rPr>
          <w:rFonts w:hint="eastAsia" w:ascii="仿宋" w:hAnsi="仿宋" w:eastAsia="仿宋" w:cs="仿宋"/>
          <w:color w:val="auto"/>
          <w:sz w:val="28"/>
          <w:szCs w:val="28"/>
        </w:rPr>
        <w:t>本项目为单价最高限价的折扣率）</w:t>
      </w:r>
      <w:r>
        <w:rPr>
          <w:rFonts w:hint="eastAsia" w:ascii="仿宋" w:hAnsi="仿宋" w:eastAsia="仿宋" w:cs="仿宋"/>
          <w:b w:val="0"/>
          <w:bCs/>
          <w:sz w:val="28"/>
          <w:szCs w:val="28"/>
        </w:rPr>
        <w:t>应是完成该项目的全部内容的价格体现。</w:t>
      </w:r>
      <w:r>
        <w:rPr>
          <w:rFonts w:hint="eastAsia" w:ascii="仿宋" w:hAnsi="仿宋" w:eastAsia="仿宋" w:cs="仿宋"/>
          <w:b w:val="0"/>
          <w:bCs w:val="0"/>
          <w:sz w:val="28"/>
          <w:szCs w:val="28"/>
          <w:lang w:val="en-US" w:eastAsia="zh-CN"/>
        </w:rPr>
        <w:t>包含货物安装完毕</w:t>
      </w:r>
      <w:r>
        <w:rPr>
          <w:rFonts w:hint="eastAsia" w:ascii="仿宋" w:hAnsi="仿宋" w:eastAsia="仿宋" w:cs="仿宋"/>
          <w:b w:val="0"/>
          <w:bCs w:val="0"/>
          <w:kern w:val="0"/>
          <w:sz w:val="28"/>
          <w:szCs w:val="28"/>
        </w:rPr>
        <w:t>至采购人</w:t>
      </w:r>
      <w:r>
        <w:rPr>
          <w:rFonts w:hint="eastAsia" w:ascii="仿宋" w:hAnsi="仿宋" w:eastAsia="仿宋" w:cs="仿宋"/>
          <w:b w:val="0"/>
          <w:bCs w:val="0"/>
          <w:kern w:val="0"/>
          <w:sz w:val="28"/>
          <w:szCs w:val="28"/>
          <w:lang w:val="en-US" w:eastAsia="zh-CN"/>
        </w:rPr>
        <w:t>指定</w:t>
      </w:r>
      <w:r>
        <w:rPr>
          <w:rFonts w:hint="eastAsia" w:ascii="仿宋" w:hAnsi="仿宋" w:eastAsia="仿宋" w:cs="仿宋"/>
          <w:b w:val="0"/>
          <w:bCs w:val="0"/>
          <w:kern w:val="0"/>
          <w:sz w:val="28"/>
          <w:szCs w:val="28"/>
        </w:rPr>
        <w:t>地点</w:t>
      </w:r>
      <w:r>
        <w:rPr>
          <w:rFonts w:hint="eastAsia" w:ascii="仿宋" w:hAnsi="仿宋" w:eastAsia="仿宋" w:cs="仿宋"/>
          <w:b w:val="0"/>
          <w:bCs w:val="0"/>
          <w:kern w:val="0"/>
          <w:sz w:val="28"/>
          <w:szCs w:val="28"/>
          <w:lang w:eastAsia="zh-CN"/>
        </w:rPr>
        <w:t>，</w:t>
      </w:r>
      <w:r>
        <w:rPr>
          <w:rFonts w:hint="eastAsia" w:ascii="仿宋" w:hAnsi="仿宋" w:eastAsia="仿宋" w:cs="仿宋"/>
          <w:b w:val="0"/>
          <w:bCs/>
          <w:sz w:val="28"/>
          <w:szCs w:val="28"/>
        </w:rPr>
        <w:t>应包括供应商为完成本项目的全部工作须支付或发生的一切所需费用（包括</w:t>
      </w:r>
      <w:r>
        <w:rPr>
          <w:rFonts w:hint="eastAsia" w:ascii="仿宋" w:hAnsi="仿宋" w:eastAsia="仿宋" w:cs="仿宋"/>
          <w:b w:val="0"/>
          <w:bCs/>
          <w:sz w:val="28"/>
          <w:szCs w:val="28"/>
          <w:lang w:eastAsia="zh-CN"/>
        </w:rPr>
        <w:t>货物</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货物</w:t>
      </w:r>
      <w:r>
        <w:rPr>
          <w:rFonts w:hint="eastAsia" w:ascii="仿宋" w:hAnsi="仿宋" w:eastAsia="仿宋" w:cs="仿宋"/>
          <w:b w:val="0"/>
          <w:bCs/>
          <w:sz w:val="28"/>
          <w:szCs w:val="28"/>
        </w:rPr>
        <w:t>损耗、仓储、包装、运输、配送、</w:t>
      </w:r>
      <w:r>
        <w:rPr>
          <w:rFonts w:hint="eastAsia" w:ascii="仿宋" w:hAnsi="仿宋" w:eastAsia="仿宋" w:cs="仿宋"/>
          <w:b w:val="0"/>
          <w:bCs/>
          <w:sz w:val="28"/>
          <w:szCs w:val="28"/>
          <w:lang w:val="en-US" w:eastAsia="zh-CN"/>
        </w:rPr>
        <w:t>吊装、安装、调试、</w:t>
      </w:r>
      <w:r>
        <w:rPr>
          <w:rFonts w:hint="eastAsia" w:ascii="仿宋" w:hAnsi="仿宋" w:eastAsia="仿宋" w:cs="仿宋"/>
          <w:b w:val="0"/>
          <w:bCs/>
          <w:sz w:val="28"/>
          <w:szCs w:val="28"/>
        </w:rPr>
        <w:t>人工服务、</w:t>
      </w:r>
      <w:r>
        <w:rPr>
          <w:rFonts w:hint="eastAsia" w:ascii="仿宋" w:hAnsi="仿宋" w:eastAsia="仿宋" w:cs="仿宋"/>
          <w:b w:val="0"/>
          <w:bCs w:val="0"/>
          <w:sz w:val="28"/>
          <w:szCs w:val="28"/>
          <w:lang w:val="en-US" w:eastAsia="zh-CN"/>
        </w:rPr>
        <w:t>机具费、知识产权使用费、</w:t>
      </w:r>
      <w:r>
        <w:rPr>
          <w:rFonts w:hint="eastAsia" w:ascii="仿宋" w:hAnsi="仿宋" w:eastAsia="仿宋" w:cs="仿宋"/>
          <w:b w:val="0"/>
          <w:bCs/>
          <w:sz w:val="28"/>
          <w:szCs w:val="28"/>
        </w:rPr>
        <w:t>税费、售后及其他各类费用等）和拟获得的利润。</w:t>
      </w:r>
    </w:p>
    <w:p w14:paraId="716C90CF">
      <w:pPr>
        <w:pStyle w:val="12"/>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没有涉及到的要求，</w:t>
      </w:r>
      <w:r>
        <w:rPr>
          <w:rFonts w:hint="eastAsia" w:ascii="仿宋" w:hAnsi="仿宋" w:eastAsia="仿宋" w:cs="仿宋"/>
          <w:color w:val="auto"/>
          <w:sz w:val="28"/>
          <w:szCs w:val="28"/>
          <w:highlight w:val="none"/>
          <w:lang w:val="en-US" w:eastAsia="zh-CN"/>
        </w:rPr>
        <w:t>属于</w:t>
      </w:r>
      <w:r>
        <w:rPr>
          <w:rFonts w:hint="eastAsia" w:ascii="仿宋" w:hAnsi="仿宋" w:eastAsia="仿宋" w:cs="仿宋"/>
          <w:b w:val="0"/>
          <w:bCs w:val="0"/>
          <w:kern w:val="0"/>
          <w:sz w:val="28"/>
          <w:szCs w:val="28"/>
        </w:rPr>
        <w:t>满足采购人正常使用需求</w:t>
      </w:r>
      <w:r>
        <w:rPr>
          <w:rFonts w:hint="eastAsia" w:ascii="仿宋" w:hAnsi="仿宋" w:eastAsia="仿宋" w:cs="仿宋"/>
          <w:color w:val="auto"/>
          <w:sz w:val="28"/>
          <w:szCs w:val="28"/>
          <w:highlight w:val="none"/>
          <w:lang w:val="en-US" w:eastAsia="zh-CN"/>
        </w:rPr>
        <w:t>的配件或施工等内容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lang w:val="en-US" w:eastAsia="zh-CN"/>
        </w:rPr>
        <w:t>自行</w:t>
      </w:r>
      <w:r>
        <w:rPr>
          <w:rFonts w:hint="eastAsia" w:ascii="仿宋" w:hAnsi="仿宋" w:eastAsia="仿宋" w:cs="仿宋"/>
          <w:color w:val="auto"/>
          <w:sz w:val="28"/>
          <w:szCs w:val="28"/>
          <w:highlight w:val="none"/>
        </w:rPr>
        <w:t>承担存在的费用。</w:t>
      </w:r>
      <w:r>
        <w:rPr>
          <w:rFonts w:hint="eastAsia" w:ascii="仿宋" w:hAnsi="仿宋" w:eastAsia="仿宋" w:cs="仿宋"/>
          <w:b w:val="0"/>
          <w:bCs/>
          <w:color w:val="auto"/>
          <w:kern w:val="2"/>
          <w:sz w:val="28"/>
          <w:szCs w:val="28"/>
          <w:highlight w:val="none"/>
          <w:lang w:val="en-US" w:eastAsia="zh-CN" w:bidi="ar-SA"/>
        </w:rPr>
        <w:t>本项目无成本补偿和风险分担，供应商应充分考虑可能影响报价的情况</w:t>
      </w:r>
      <w:r>
        <w:rPr>
          <w:rFonts w:hint="eastAsia" w:ascii="仿宋" w:hAnsi="仿宋" w:eastAsia="仿宋" w:cs="仿宋"/>
          <w:b w:val="0"/>
          <w:bCs/>
          <w:sz w:val="28"/>
          <w:szCs w:val="28"/>
        </w:rPr>
        <w:t>。</w:t>
      </w:r>
    </w:p>
    <w:p w14:paraId="6B2655A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eastAsia="zh-CN"/>
        </w:rPr>
        <w:t>货物</w:t>
      </w:r>
      <w:r>
        <w:rPr>
          <w:rFonts w:hint="eastAsia" w:ascii="仿宋" w:hAnsi="仿宋" w:eastAsia="仿宋" w:cs="仿宋"/>
          <w:color w:val="auto"/>
          <w:kern w:val="0"/>
          <w:sz w:val="28"/>
          <w:szCs w:val="28"/>
        </w:rPr>
        <w:t>单价最高限价乘以供应商报价折扣率后的</w:t>
      </w:r>
      <w:r>
        <w:rPr>
          <w:rFonts w:hint="eastAsia" w:ascii="仿宋" w:hAnsi="仿宋" w:eastAsia="仿宋" w:cs="仿宋"/>
          <w:color w:val="auto"/>
          <w:kern w:val="0"/>
          <w:sz w:val="28"/>
          <w:szCs w:val="28"/>
          <w:lang w:val="en-US" w:eastAsia="zh-CN"/>
        </w:rPr>
        <w:t>四舍五入</w:t>
      </w:r>
      <w:r>
        <w:rPr>
          <w:rFonts w:hint="eastAsia" w:ascii="仿宋" w:hAnsi="仿宋" w:eastAsia="仿宋" w:cs="仿宋"/>
          <w:color w:val="auto"/>
          <w:kern w:val="0"/>
          <w:sz w:val="28"/>
          <w:szCs w:val="28"/>
        </w:rPr>
        <w:t>保留小数点后</w:t>
      </w:r>
      <w:r>
        <w:rPr>
          <w:rFonts w:hint="eastAsia" w:ascii="仿宋" w:hAnsi="仿宋" w:eastAsia="仿宋" w:cs="仿宋"/>
          <w:color w:val="auto"/>
          <w:kern w:val="0"/>
          <w:sz w:val="28"/>
          <w:szCs w:val="28"/>
          <w:lang w:val="en-US" w:eastAsia="zh-CN"/>
        </w:rPr>
        <w:t>一位</w:t>
      </w:r>
      <w:r>
        <w:rPr>
          <w:rFonts w:hint="eastAsia" w:ascii="仿宋" w:hAnsi="仿宋" w:eastAsia="仿宋" w:cs="仿宋"/>
          <w:color w:val="auto"/>
          <w:kern w:val="0"/>
          <w:sz w:val="28"/>
          <w:szCs w:val="28"/>
        </w:rPr>
        <w:t>的价格为各项</w:t>
      </w:r>
      <w:r>
        <w:rPr>
          <w:rFonts w:hint="eastAsia" w:ascii="仿宋" w:hAnsi="仿宋" w:eastAsia="仿宋" w:cs="仿宋"/>
          <w:color w:val="auto"/>
          <w:kern w:val="0"/>
          <w:sz w:val="28"/>
          <w:szCs w:val="28"/>
          <w:lang w:eastAsia="zh-CN"/>
        </w:rPr>
        <w:t>货物</w:t>
      </w:r>
      <w:r>
        <w:rPr>
          <w:rFonts w:hint="eastAsia" w:ascii="仿宋" w:hAnsi="仿宋" w:eastAsia="仿宋" w:cs="仿宋"/>
          <w:color w:val="auto"/>
          <w:kern w:val="0"/>
          <w:sz w:val="28"/>
          <w:szCs w:val="28"/>
        </w:rPr>
        <w:t>实际</w:t>
      </w:r>
      <w:r>
        <w:rPr>
          <w:rFonts w:hint="eastAsia" w:ascii="仿宋" w:hAnsi="仿宋" w:eastAsia="仿宋" w:cs="仿宋"/>
          <w:color w:val="auto"/>
          <w:kern w:val="0"/>
          <w:sz w:val="28"/>
          <w:szCs w:val="28"/>
          <w:lang w:val="en-US" w:eastAsia="zh-CN"/>
        </w:rPr>
        <w:t>成交单</w:t>
      </w:r>
      <w:r>
        <w:rPr>
          <w:rFonts w:hint="eastAsia" w:ascii="仿宋" w:hAnsi="仿宋" w:eastAsia="仿宋" w:cs="仿宋"/>
          <w:color w:val="auto"/>
          <w:kern w:val="0"/>
          <w:sz w:val="28"/>
          <w:szCs w:val="28"/>
        </w:rPr>
        <w:t>价。</w:t>
      </w:r>
    </w:p>
    <w:p w14:paraId="1B8541A7">
      <w:pPr>
        <w:pStyle w:val="10"/>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rPr>
      </w:pPr>
      <w:r>
        <w:rPr>
          <w:rFonts w:hint="eastAsia" w:ascii="仿宋" w:hAnsi="仿宋" w:eastAsia="仿宋" w:cs="仿宋"/>
          <w:kern w:val="2"/>
          <w:sz w:val="28"/>
          <w:szCs w:val="28"/>
          <w:lang w:val="en-US" w:eastAsia="zh-CN" w:bidi="ar-SA"/>
        </w:rPr>
        <w:t>4、</w:t>
      </w:r>
      <w:r>
        <w:rPr>
          <w:rFonts w:hint="eastAsia" w:ascii="仿宋" w:hAnsi="仿宋" w:eastAsia="仿宋" w:cs="仿宋"/>
          <w:color w:val="auto"/>
          <w:sz w:val="28"/>
          <w:szCs w:val="28"/>
          <w:u w:val="none"/>
        </w:rPr>
        <w:t>本项目</w:t>
      </w:r>
      <w:r>
        <w:rPr>
          <w:rFonts w:hint="eastAsia" w:ascii="仿宋" w:hAnsi="仿宋" w:eastAsia="仿宋" w:cs="仿宋"/>
          <w:color w:val="auto"/>
          <w:sz w:val="28"/>
          <w:szCs w:val="28"/>
          <w:u w:val="none"/>
          <w:lang w:val="en-US" w:eastAsia="zh-CN"/>
        </w:rPr>
        <w:t>货物</w:t>
      </w:r>
      <w:r>
        <w:rPr>
          <w:rFonts w:hint="eastAsia" w:ascii="仿宋" w:hAnsi="仿宋" w:eastAsia="仿宋" w:cs="仿宋"/>
          <w:color w:val="auto"/>
          <w:sz w:val="28"/>
          <w:szCs w:val="28"/>
          <w:u w:val="none"/>
        </w:rPr>
        <w:t>购置数量采购人当前无法确定，供应商成交后，根据采购人的需求进行供货，最终</w:t>
      </w:r>
      <w:r>
        <w:rPr>
          <w:rFonts w:hint="eastAsia" w:ascii="仿宋" w:hAnsi="仿宋" w:eastAsia="仿宋" w:cs="仿宋"/>
          <w:color w:val="auto"/>
          <w:sz w:val="28"/>
          <w:szCs w:val="28"/>
          <w:u w:val="none"/>
          <w:lang w:eastAsia="zh-CN"/>
        </w:rPr>
        <w:t>货物</w:t>
      </w:r>
      <w:r>
        <w:rPr>
          <w:rFonts w:hint="eastAsia" w:ascii="仿宋" w:hAnsi="仿宋" w:eastAsia="仿宋" w:cs="仿宋"/>
          <w:color w:val="auto"/>
          <w:sz w:val="28"/>
          <w:szCs w:val="28"/>
          <w:u w:val="none"/>
        </w:rPr>
        <w:t>采购数量以合同履行期内采购人实际需求为准。</w:t>
      </w:r>
    </w:p>
    <w:p w14:paraId="47D671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color w:val="auto"/>
          <w:sz w:val="28"/>
          <w:szCs w:val="28"/>
        </w:rPr>
        <w:t>结算时以采购人实际需要的各项</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购置数量分别乘以各项</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lang w:val="en-US" w:eastAsia="zh-CN"/>
        </w:rPr>
        <w:t>实际</w:t>
      </w:r>
      <w:r>
        <w:rPr>
          <w:rFonts w:hint="eastAsia" w:ascii="仿宋" w:hAnsi="仿宋" w:eastAsia="仿宋" w:cs="仿宋"/>
          <w:color w:val="auto"/>
          <w:sz w:val="28"/>
          <w:szCs w:val="28"/>
        </w:rPr>
        <w:t>成交单价为准。合同履行期内，最终采购人</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采购总金额不超过本项目预算金额。</w:t>
      </w:r>
    </w:p>
    <w:p w14:paraId="38DFAF3C">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四、服务</w:t>
      </w:r>
      <w:r>
        <w:rPr>
          <w:rFonts w:hint="eastAsia" w:ascii="仿宋" w:hAnsi="仿宋" w:eastAsia="仿宋" w:cs="仿宋"/>
          <w:b/>
          <w:bCs/>
          <w:sz w:val="28"/>
          <w:szCs w:val="28"/>
          <w:lang w:val="en-US" w:eastAsia="zh-CN"/>
        </w:rPr>
        <w:t>要求</w:t>
      </w:r>
    </w:p>
    <w:p w14:paraId="5D2C9D2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项目采购人大竹县人民医院是集医疗、教学、科研、预防保健为一体的国家三级甲等综合医院，全院现有需配送货物的区域工作业务用房建筑面积82313.13平方米，共计63个科室。供应商服务区域包括但不限于门诊大楼（10层、可用1部电梯）、内科大楼（14层、可用1部电梯搬货）、外科大楼（19层、可用1部电梯搬货）、感染科楼、发热门诊、总务库房（3楼、步梯）等，供应商在合同履约期内送货上楼到采购人院内指定地点，或在规定的时间内向采购人提供合同要求的各项服务。</w:t>
      </w:r>
    </w:p>
    <w:p w14:paraId="028C248C">
      <w:pPr>
        <w:pStyle w:val="12"/>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项目采用分批供货方式供货，本合同履行期内采购人电话通知供应商送货时间、货物品名、货物数量、型号规格、配送地点等。供应商接采购人通知送货，不论采购人货物需求规模大小，供应商均应保证按时按质供货。</w:t>
      </w:r>
    </w:p>
    <w:p w14:paraId="047D7D3E">
      <w:pPr>
        <w:keepNext w:val="0"/>
        <w:keepLines w:val="0"/>
        <w:pageBreakBefore w:val="0"/>
        <w:widowControl w:val="0"/>
        <w:kinsoku/>
        <w:wordWrap/>
        <w:overflowPunct/>
        <w:topLinePunct w:val="0"/>
        <w:autoSpaceDE/>
        <w:autoSpaceDN/>
        <w:bidi w:val="0"/>
        <w:adjustRightInd/>
        <w:snapToGrid/>
        <w:spacing w:line="520" w:lineRule="atLeas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kern w:val="2"/>
          <w:sz w:val="28"/>
          <w:szCs w:val="28"/>
          <w:highlight w:val="none"/>
          <w:lang w:val="en-US" w:eastAsia="zh-CN" w:bidi="ar-SA"/>
        </w:rPr>
        <w:t xml:space="preserve">交货时间：供应商需全年365天全天候响应采购人需求，供应商接采购人通知后，供应商应在48小时内能送货到采购人指定地点。对采购人面临的突发事件和紧急任务，供应商应积极配合，供应商接采购人派工后，应在24小时内能送货到采购人指定地点。 </w:t>
      </w:r>
    </w:p>
    <w:p w14:paraId="01C39992">
      <w:pPr>
        <w:keepNext w:val="0"/>
        <w:keepLines w:val="0"/>
        <w:pageBreakBefore w:val="0"/>
        <w:widowControl w:val="0"/>
        <w:kinsoku/>
        <w:wordWrap/>
        <w:overflowPunct/>
        <w:topLinePunct w:val="0"/>
        <w:autoSpaceDE/>
        <w:autoSpaceDN/>
        <w:bidi w:val="0"/>
        <w:adjustRightInd/>
        <w:snapToGrid/>
        <w:spacing w:line="520" w:lineRule="atLeas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货物送达指定地点由供应商承担装卸、搬运上楼、堆叠码放等相关费用。所供货物送达时，其剩余保质期不得低于该商品总保质期的三分之二，且不少于六个月。          </w:t>
      </w:r>
    </w:p>
    <w:p w14:paraId="679800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4、配送与验收：供应商须将货物配送至采购人指定的院内任意地点，并配合验收。每次交货应随附销售单据，单据信息须与实际供货一致。验收记录须经采购人指定人员签字确认。</w:t>
      </w:r>
    </w:p>
    <w:p w14:paraId="63A9ECC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5、质量与退换货：供应商须提供因质量问题导致的上门退换货服务。出现质量问题时，供应商应派员至指定地点对接，并按采购人要求及时处理，对验收前存在瑕疵或运输损坏的货物负责更换。</w:t>
      </w:r>
    </w:p>
    <w:p w14:paraId="3F5EBF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6、备货要求：供应商应根据采购人日常使用情况做好备货，确保货源稳定，节假日期间不得断供。</w:t>
      </w:r>
    </w:p>
    <w:p w14:paraId="2637BD0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院内作业规范：供应商在院内作业期间，须遵守采购人规章制度，在指定区域活动，做好安全保障与应急预案，加强员工安全教育，严格执行国家相关安全法规。因供应商及其员工原因造成的一切安全事故、人身伤亡、经济损失均由供应商承担；若因此造成采购人损失，供应商应承担全部赔偿责任。</w:t>
      </w:r>
    </w:p>
    <w:p w14:paraId="390E668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8、货物核实：采购人有权按响应文件或合同约定核实货物。货物应外观完好、质量合格，且供应商须提供所需资料。如不符合要求，采购人有权拒收或要求更换，因此造成的损失由供应商全额赔偿。</w:t>
      </w:r>
    </w:p>
    <w:p w14:paraId="77BA5F3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9、数据统计配合：供应商应配合采购人完成履约期间的货物数据统计工作，以电子文档形式将所有配送货物的时间、品名、规格、数量、单价、金额、所属科室等信息发送至指定工作人员存档。</w:t>
      </w:r>
    </w:p>
    <w:p w14:paraId="562D1E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专人对接服务：供应商须指定专人负责与采购人的业务接洽，随时响应采购需求，并负责联络、安排、协调配送、售后、对账等全流程服务（全流程指从接洽至货物送达指定地点的全部环节，不得转嫁至采购人职能人员，不得占用其工作时间）。未提供全流程服务视为违约。</w:t>
      </w:r>
    </w:p>
    <w:p w14:paraId="6B11E6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11、如果供应商以</w:t>
      </w:r>
      <w:r>
        <w:rPr>
          <w:rFonts w:hint="eastAsia" w:ascii="仿宋" w:hAnsi="仿宋" w:eastAsia="仿宋" w:cs="仿宋"/>
          <w:sz w:val="28"/>
          <w:szCs w:val="28"/>
          <w:highlight w:val="none"/>
        </w:rPr>
        <w:t>低于成本价</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不正当竞争</w:t>
      </w:r>
      <w:r>
        <w:rPr>
          <w:rFonts w:hint="eastAsia" w:ascii="仿宋" w:hAnsi="仿宋" w:eastAsia="仿宋" w:cs="仿宋"/>
          <w:sz w:val="28"/>
          <w:szCs w:val="28"/>
          <w:highlight w:val="none"/>
          <w:lang w:val="en-US" w:eastAsia="zh-CN"/>
        </w:rPr>
        <w:t>方式谋取成交，在实际供货中弄虚作假减少供货数量和质量（低于响应文件要求、供货数量不足等行为），一经核实供应商的弄虚作假行为，采购人将直接从供应商应付货款中扣除合同总价20%的违约金，并添加至诚信黑名单内。</w:t>
      </w:r>
    </w:p>
    <w:p w14:paraId="253C8672">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五、商务要求</w:t>
      </w:r>
    </w:p>
    <w:p w14:paraId="1DF7F81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（一）合同履约期限（以下任一条件先达到即合同终止）</w:t>
      </w:r>
    </w:p>
    <w:p w14:paraId="0C7FD15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本项目合同履约期限为双方签订采购合同生效之日起</w:t>
      </w:r>
      <w:r>
        <w:rPr>
          <w:rStyle w:val="7"/>
          <w:rFonts w:hint="eastAsia" w:ascii="仿宋" w:hAnsi="仿宋" w:eastAsia="仿宋" w:cs="仿宋"/>
          <w:b w:val="0"/>
          <w:bCs w:val="0"/>
          <w:i w:val="0"/>
          <w:iCs w:val="0"/>
          <w:caps w:val="0"/>
          <w:color w:val="222222"/>
          <w:spacing w:val="0"/>
          <w:sz w:val="28"/>
          <w:szCs w:val="28"/>
          <w:lang w:val="en-US" w:eastAsia="zh-CN"/>
        </w:rPr>
        <w:t>不超过</w:t>
      </w:r>
      <w:r>
        <w:rPr>
          <w:rStyle w:val="7"/>
          <w:rFonts w:hint="eastAsia" w:ascii="仿宋" w:hAnsi="仿宋" w:eastAsia="仿宋" w:cs="仿宋"/>
          <w:b w:val="0"/>
          <w:bCs w:val="0"/>
          <w:i w:val="0"/>
          <w:iCs w:val="0"/>
          <w:caps w:val="0"/>
          <w:color w:val="FF0000"/>
          <w:spacing w:val="0"/>
          <w:sz w:val="28"/>
          <w:szCs w:val="28"/>
          <w:lang w:val="en-US" w:eastAsia="zh-CN"/>
        </w:rPr>
        <w:t>18个月</w:t>
      </w:r>
      <w:r>
        <w:rPr>
          <w:rStyle w:val="7"/>
          <w:rFonts w:hint="eastAsia" w:ascii="仿宋" w:hAnsi="仿宋" w:eastAsia="仿宋" w:cs="仿宋"/>
          <w:b w:val="0"/>
          <w:bCs w:val="0"/>
          <w:i w:val="0"/>
          <w:iCs w:val="0"/>
          <w:caps w:val="0"/>
          <w:color w:val="222222"/>
          <w:spacing w:val="0"/>
          <w:sz w:val="28"/>
          <w:szCs w:val="28"/>
          <w:lang w:eastAsia="zh-CN"/>
        </w:rPr>
        <w:t>，合同履约期限届满后，合同自然终止</w:t>
      </w:r>
      <w:r>
        <w:rPr>
          <w:rFonts w:hint="eastAsia" w:ascii="仿宋" w:hAnsi="仿宋" w:eastAsia="仿宋" w:cs="仿宋"/>
          <w:color w:val="auto"/>
          <w:sz w:val="28"/>
          <w:szCs w:val="28"/>
          <w:lang w:val="en-US" w:eastAsia="zh-CN"/>
        </w:rPr>
        <w:t>；合同履行金额达到</w:t>
      </w:r>
      <w:r>
        <w:rPr>
          <w:rFonts w:hint="eastAsia" w:ascii="仿宋" w:hAnsi="仿宋" w:eastAsia="仿宋" w:cs="仿宋"/>
          <w:b w:val="0"/>
          <w:bCs w:val="0"/>
          <w:color w:val="auto"/>
          <w:sz w:val="28"/>
          <w:szCs w:val="28"/>
          <w:lang w:val="en-US" w:eastAsia="zh-CN"/>
        </w:rPr>
        <w:t>项目总预算金额，</w:t>
      </w:r>
      <w:r>
        <w:rPr>
          <w:rFonts w:hint="eastAsia" w:ascii="仿宋" w:hAnsi="仿宋" w:eastAsia="仿宋" w:cs="仿宋"/>
          <w:color w:val="auto"/>
          <w:sz w:val="28"/>
          <w:szCs w:val="28"/>
          <w:lang w:val="en-US" w:eastAsia="zh-CN"/>
        </w:rPr>
        <w:t xml:space="preserve">合同自然终止。 </w:t>
      </w:r>
    </w:p>
    <w:p w14:paraId="181429D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若本合同履约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w:t>
      </w:r>
    </w:p>
    <w:p w14:paraId="093C959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采购人完成新一轮招采工作后，本合同立即终止。</w:t>
      </w:r>
    </w:p>
    <w:p w14:paraId="19266D7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（二）项目履行地点：大竹县人民医院院内指定地点。货物交付采购人之前，货物的损毁、灭失风险由供应商承担。</w:t>
      </w:r>
    </w:p>
    <w:p w14:paraId="3A653F79">
      <w:pPr>
        <w:pStyle w:val="10"/>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（三）付款方式</w:t>
      </w:r>
    </w:p>
    <w:p w14:paraId="24C8B3D6">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合同履行期间，本项目采购总金额在达到项目总预算金额前，采购人和供应商每月核算一次供应商所供货物采购数量和金额。每月28号前，供应商应完成与采购人当月货款的核算工作。供应商提供合同履约期间货物会计数据统计的电子文档给采购人存档。</w:t>
      </w:r>
    </w:p>
    <w:p w14:paraId="3527D82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2、采购人采用银行转账方式付款，采购人付款前，供应商必须提供货物结算清单给采购人核对，供应商的结算清单应清楚、准确、明晰，供应商必须出具国家认可的足额有效发票，否则采购人有权拒绝付款。</w:t>
      </w:r>
    </w:p>
    <w:p w14:paraId="073A585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lang w:val="en-US" w:eastAsia="zh-CN"/>
        </w:rPr>
      </w:pPr>
      <w:r>
        <w:rPr>
          <w:rFonts w:hint="eastAsia" w:ascii="仿宋" w:hAnsi="仿宋" w:eastAsia="仿宋" w:cs="仿宋"/>
          <w:kern w:val="2"/>
          <w:sz w:val="28"/>
          <w:szCs w:val="28"/>
          <w:lang w:val="en-US" w:eastAsia="zh-CN" w:bidi="ar-SA"/>
        </w:rPr>
        <w:t>3、双方核对一致后，供应商才可开具发票。每月采购人在收到供应商前款所述有效票据后，90日内转账支付供应商该批次货款。</w:t>
      </w:r>
    </w:p>
    <w:p w14:paraId="76CC2B3D">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（四）验收方式和标准</w:t>
      </w:r>
    </w:p>
    <w:p w14:paraId="4ACC777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验收方式：由采购人组织、供应商配合，根据国家有关强制性规定，按照本项目采购需求、响应文件、《大竹县人民医院采购管理办法》以及双方合同约定的相关要求进行验收。</w:t>
      </w:r>
    </w:p>
    <w:p w14:paraId="4D060AF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供应商应将货物送到采购人指定的院内地点接受采购人入库验收。供应商应随货附销售单据。销售单据所记录的数据应与实际供货的品名、规格型号、数量、单价、金额等一致。</w:t>
      </w:r>
    </w:p>
    <w:p w14:paraId="1608B85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采购人有权要求供应商提供每批次货物的合格资料和质量证明材料，并核实材料真实性，如供应商无正当理由不予配合或证实实际货物与合同约定的要求不符，视为供应商违约，采购人有权拒收货物并要求供应商承担违约责任。</w:t>
      </w:r>
    </w:p>
    <w:p w14:paraId="4F05F2B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鉴于本项目为分批次供货，每批次货物自供应商交付给采购人2个工作日内，采购人书面签收销售单据视为对该批次货物数量和外观验收合格。采购人应当在2个工作日内将标的物的数量或者外观不符合约定的情形通知供应商。</w:t>
      </w:r>
    </w:p>
    <w:p w14:paraId="6F02A79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（五）货物包装、运输要求</w:t>
      </w:r>
    </w:p>
    <w:p w14:paraId="22E1917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1.供应商保证所提供的货物在装卸、运输和仓储过程中有足够的包装保护，防止货物受潮、变质、受到冲撞以及其他不可预见的损坏，供应商提供货</w:t>
      </w:r>
      <w:r>
        <w:rPr>
          <w:rFonts w:hint="eastAsia" w:ascii="仿宋" w:hAnsi="仿宋" w:eastAsia="仿宋" w:cs="仿宋"/>
          <w:sz w:val="28"/>
          <w:szCs w:val="28"/>
          <w:lang w:val="en-US" w:eastAsia="zh-CN"/>
        </w:rPr>
        <w:t>物在</w:t>
      </w:r>
      <w:r>
        <w:rPr>
          <w:rFonts w:hint="default" w:ascii="仿宋" w:hAnsi="仿宋" w:eastAsia="仿宋" w:cs="仿宋"/>
          <w:sz w:val="28"/>
          <w:szCs w:val="28"/>
          <w:lang w:val="en-US" w:eastAsia="zh-CN"/>
        </w:rPr>
        <w:t>运输过程中造成货物泄露、损坏、灭失等，造成的一切经济损失由供应商自行承担。发生破损、受潮、容量不足、疑似瑕疵品等情况，采购人有权拒收货物。</w:t>
      </w:r>
    </w:p>
    <w:p w14:paraId="3A322C2E">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2.运输费、装卸费由供应商承担。</w:t>
      </w:r>
    </w:p>
    <w:p w14:paraId="2FF82E26">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（六）售后服务要求</w:t>
      </w:r>
    </w:p>
    <w:p w14:paraId="546C7DE3">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交供应商所提供的货物，售后质保期为一年，从采购人完成签收之日算起，货物出现非人为情况下的损坏、不符合采购需求的，供应商需及时进行更换处理，根据前款所述配送时间更换到位。更换所产生的一切费用（含货物、人工、运输费、违约金等）由成交供应商承担，货物更换必须是等于或优于采购需求的，并对更换后的货物继续履行售后服务。</w:t>
      </w:r>
    </w:p>
    <w:p w14:paraId="401D816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交供应商怠于履行质保责任或者更换的货物仍存在问题的，采购人将采取必要的补救措施（采购人自行修复更换或委托第三方替代成交供应商修复更换），其产生的因处理货物问题的所有费用及风险由成交供应商承担。</w:t>
      </w:r>
    </w:p>
    <w:p w14:paraId="3D4033B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（七）抽样检验、处罚承担约定</w:t>
      </w:r>
    </w:p>
    <w:p w14:paraId="75ADA35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双方签订采购合同后，在合同履行期内，若采购人使用科室多次反应货物存在质量问题，采购人将开展一次抽样检验，将对供应商所供货物抽样取样由具有资质的第三方检测机构按采购需求要求进行检测，该笔检测费用由供应商承担。若供应商货物的检测结果不符合采购需求，视为供应商违约，供应商向采购人支付成交总价20%的违约金，同时自愿解除合同。</w:t>
      </w:r>
    </w:p>
    <w:p w14:paraId="191800AD">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双方签订采购合同后，在合同履行期内，若供应商提供的货物质量根本性违约不符合采购需求，视为供应商违约，供应商向采购人支付成交总价20%的违约金，同时自愿解除合同。若供应商造成采购人损失的，包括但不限于采购人本身的财产损失或人身伤害，由此而导致的采购人对任何第三方的法律责任等，供应商对此均应承担全部的赔偿责任和法律责任。</w:t>
      </w:r>
    </w:p>
    <w:p w14:paraId="324B6142">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3、若供应商所供货物经国家行政部门检查判定为不符合国家相关标准，导致采购人因使用供应商不符合国家相关标准的货物而遭受国家相关部门处罚，所产生的罚款和法律责任全部由供应商负责承担和缴纳。</w:t>
      </w:r>
    </w:p>
    <w:p w14:paraId="4A11B51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（八）违约责任</w:t>
      </w:r>
    </w:p>
    <w:p w14:paraId="7E9FEC0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严格按照国家相关法律法规和本采购需求及供应商提交的响应文件约定履行合同，按时全面履行本项目的各项义务，供应商不履行本项目义务或瑕疵履行本项目义务或延迟履行本项目义务或履行合同义务不符合合同约定的，则供应商违约。</w:t>
      </w:r>
    </w:p>
    <w:p w14:paraId="0AACBFC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406BCBF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p>
    <w:p w14:paraId="70AA2EF4">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（1）项目履行期限内，供应商明确表示或者以自己的行为表明不履行本项目合同的主要义务，则供应商违约，供应商应向采购人缴纳合同总价款20%的违约金，同时采购人有权解除合同。</w:t>
      </w:r>
    </w:p>
    <w:p w14:paraId="440DCD01">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（2）供应商提供的货物或服务根本违约（例如提供假冒伪劣产品或以次充好），致使合同的目的不能实现的，供应商应向采购人缴纳合同总价款20%的违约金，同时采购人有权解除合同。</w:t>
      </w:r>
    </w:p>
    <w:p w14:paraId="33664E3B">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延迟履约，即供应商应向采购人提供的货物及服务未按合同约定时间达成的，供应商每有一次违约行为，采购人将扣除供应商当月结算货款200元，供应商经采购人催告后应继续按合同约定履行合同。若供应商一年内5次延迟履约，则供应商应向采购人缴纳合同总价款5%的违约金，同时采购人有权解除合同。</w:t>
      </w:r>
    </w:p>
    <w:p w14:paraId="44A075B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所供的货物或服务瑕疵违约，与采购人采购需求不符的，供应商应承担修理、重作、更换、退货、减少价款或者报酬等违约责任。同时供应商每有一次违约行为，采购人将扣除供应商当月结算货款200元，供应商出现5次本款所列违约行为，供应商应向采购人支付合同总价款5%的违约金，同时采购人有权解除合同。经采购人同意后，供应商更正瑕疵违约行为后，可以继续按合同约定履行合同。</w:t>
      </w:r>
    </w:p>
    <w:p w14:paraId="22A5C3F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2、合同履行过程中因供应商及员工原因造成的一切安全事故、人身伤亡、经济损失均由供应商自行负责承担，其责任与采购人无关。</w:t>
      </w:r>
      <w:bookmarkStart w:id="0" w:name="★4.4_违约处理"/>
      <w:bookmarkEnd w:id="0"/>
      <w:r>
        <w:rPr>
          <w:rFonts w:hint="eastAsia" w:ascii="仿宋" w:hAnsi="仿宋" w:eastAsia="仿宋" w:cs="仿宋"/>
          <w:sz w:val="28"/>
          <w:szCs w:val="28"/>
          <w:lang w:val="en-US" w:eastAsia="zh-CN"/>
        </w:rPr>
        <w:t>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29C08C6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 w:hAnsi="仿宋" w:eastAsia="仿宋" w:cs="仿宋"/>
          <w:sz w:val="28"/>
          <w:szCs w:val="28"/>
          <w:lang w:val="en-US" w:eastAsia="zh-CN"/>
        </w:rPr>
        <w:t>3、</w:t>
      </w:r>
      <w:r>
        <w:rPr>
          <w:rFonts w:hint="eastAsia" w:ascii="仿宋" w:hAnsi="仿宋" w:eastAsia="仿宋" w:cs="仿宋"/>
          <w:color w:val="auto"/>
          <w:sz w:val="28"/>
          <w:szCs w:val="28"/>
          <w:lang w:val="en-US" w:eastAsia="zh-CN"/>
        </w:rPr>
        <w:t>其他条款</w:t>
      </w:r>
      <w:r>
        <w:rPr>
          <w:rFonts w:hint="eastAsia" w:ascii="仿宋" w:hAnsi="仿宋" w:eastAsia="仿宋" w:cs="仿宋"/>
          <w:sz w:val="28"/>
          <w:szCs w:val="28"/>
          <w:highlight w:val="none"/>
          <w:lang w:val="en-US" w:eastAsia="zh-CN"/>
        </w:rPr>
        <w:t>按合同约定执行。</w:t>
      </w:r>
    </w:p>
    <w:p w14:paraId="6A0592A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六、其他要求</w:t>
      </w:r>
    </w:p>
    <w:p w14:paraId="64249987">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1、本章的所有内容为本次采购项目的实质性要求，不允许有负偏离。</w:t>
      </w:r>
    </w:p>
    <w:p w14:paraId="306606AE">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2、本章内容中有明确的证明材料要求的应提供对应证明材料，否则视为负偏离。</w:t>
      </w:r>
    </w:p>
    <w:p w14:paraId="0FD1772F">
      <w:pPr>
        <w:pStyle w:val="10"/>
        <w:spacing w:line="560" w:lineRule="exact"/>
        <w:ind w:firstLine="560"/>
        <w:rPr>
          <w:rFonts w:hint="eastAsia" w:ascii="仿宋" w:hAnsi="仿宋" w:eastAsia="仿宋" w:cs="仿宋"/>
          <w:sz w:val="28"/>
          <w:szCs w:val="28"/>
          <w:highlight w:val="none"/>
          <w:lang w:val="en-US" w:eastAsia="zh-CN"/>
        </w:rPr>
      </w:pPr>
      <w:bookmarkStart w:id="1" w:name="_GoBack"/>
      <w:bookmarkEnd w:id="1"/>
    </w:p>
    <w:p w14:paraId="150D57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C6451C"/>
    <w:multiLevelType w:val="singleLevel"/>
    <w:tmpl w:val="21C6451C"/>
    <w:lvl w:ilvl="0" w:tentative="0">
      <w:start w:val="1"/>
      <w:numFmt w:val="chineseCounting"/>
      <w:suff w:val="nothing"/>
      <w:lvlText w:val="%1、"/>
      <w:lvlJc w:val="left"/>
      <w:rPr>
        <w:rFonts w:hint="eastAsia"/>
      </w:rPr>
    </w:lvl>
  </w:abstractNum>
  <w:abstractNum w:abstractNumId="1">
    <w:nsid w:val="64C30143"/>
    <w:multiLevelType w:val="singleLevel"/>
    <w:tmpl w:val="64C30143"/>
    <w:lvl w:ilvl="0" w:tentative="0">
      <w:start w:val="2"/>
      <w:numFmt w:val="chineseCounting"/>
      <w:suff w:val="nothing"/>
      <w:lvlText w:val="（%1）"/>
      <w:lvlJc w:val="left"/>
      <w:rPr>
        <w:rFonts w:hint="eastAsia"/>
      </w:rPr>
    </w:lvl>
  </w:abstractNum>
  <w:abstractNum w:abstractNumId="2">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A2"/>
    <w:rsid w:val="000E1703"/>
    <w:rsid w:val="00521821"/>
    <w:rsid w:val="009F4EE6"/>
    <w:rsid w:val="00E11BA2"/>
    <w:rsid w:val="00E858DB"/>
    <w:rsid w:val="253043DD"/>
    <w:rsid w:val="4D475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6"/>
    <w:basedOn w:val="1"/>
    <w:next w:val="1"/>
    <w:link w:val="8"/>
    <w:qFormat/>
    <w:uiPriority w:val="99"/>
    <w:pPr>
      <w:spacing w:before="100" w:beforeAutospacing="1" w:after="100" w:afterAutospacing="1"/>
      <w:jc w:val="left"/>
      <w:outlineLvl w:val="5"/>
    </w:pPr>
    <w:rPr>
      <w:rFonts w:ascii="宋体" w:hAnsi="宋体" w:cs="宋体"/>
      <w:b/>
      <w:bCs/>
      <w:kern w:val="0"/>
      <w:sz w:val="15"/>
      <w:szCs w:val="15"/>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
    <w:unhideWhenUsed/>
    <w:qFormat/>
    <w:uiPriority w:val="99"/>
    <w:pPr>
      <w:spacing w:before="100" w:beforeAutospacing="1" w:after="120"/>
    </w:pPr>
  </w:style>
  <w:style w:type="paragraph" w:styleId="3">
    <w:name w:val="Body Text First Indent"/>
    <w:basedOn w:val="2"/>
    <w:next w:val="1"/>
    <w:link w:val="17"/>
    <w:semiHidden/>
    <w:unhideWhenUsed/>
    <w:qFormat/>
    <w:uiPriority w:val="99"/>
    <w:pPr>
      <w:spacing w:before="0" w:beforeAutospacing="0"/>
      <w:ind w:firstLine="420" w:firstLineChars="100"/>
    </w:pPr>
  </w:style>
  <w:style w:type="character" w:styleId="7">
    <w:name w:val="Strong"/>
    <w:basedOn w:val="6"/>
    <w:qFormat/>
    <w:uiPriority w:val="0"/>
    <w:rPr>
      <w:b/>
    </w:rPr>
  </w:style>
  <w:style w:type="character" w:customStyle="1" w:styleId="8">
    <w:name w:val="标题 6 Char"/>
    <w:basedOn w:val="6"/>
    <w:link w:val="4"/>
    <w:qFormat/>
    <w:uiPriority w:val="99"/>
    <w:rPr>
      <w:rFonts w:ascii="宋体" w:hAnsi="宋体" w:eastAsia="宋体" w:cs="宋体"/>
      <w:b/>
      <w:bCs/>
      <w:kern w:val="0"/>
      <w:sz w:val="15"/>
      <w:szCs w:val="15"/>
    </w:rPr>
  </w:style>
  <w:style w:type="character" w:customStyle="1" w:styleId="9">
    <w:name w:val="正文文本 Char"/>
    <w:basedOn w:val="6"/>
    <w:link w:val="2"/>
    <w:qFormat/>
    <w:uiPriority w:val="99"/>
    <w:rPr>
      <w:rFonts w:ascii="Times New Roman" w:hAnsi="Times New Roman" w:eastAsia="宋体" w:cs="Times New Roman"/>
      <w:szCs w:val="21"/>
    </w:rPr>
  </w:style>
  <w:style w:type="paragraph" w:customStyle="1" w:styleId="10">
    <w:name w:val="List Paragraph"/>
    <w:basedOn w:val="1"/>
    <w:uiPriority w:val="0"/>
    <w:pPr>
      <w:ind w:firstLine="420" w:firstLineChars="200"/>
    </w:pPr>
  </w:style>
  <w:style w:type="paragraph" w:customStyle="1" w:styleId="11">
    <w:name w:val="null3"/>
    <w:basedOn w:val="1"/>
    <w:qFormat/>
    <w:uiPriority w:val="0"/>
    <w:pPr>
      <w:widowControl/>
      <w:jc w:val="left"/>
    </w:pPr>
    <w:rPr>
      <w:rFonts w:ascii="Calibri" w:hAnsi="Calibri"/>
      <w:kern w:val="0"/>
      <w:sz w:val="24"/>
      <w:szCs w:val="24"/>
    </w:rPr>
  </w:style>
  <w:style w:type="paragraph" w:customStyle="1" w:styleId="12">
    <w:name w:val="正文_1"/>
    <w:basedOn w:val="1"/>
    <w:next w:val="13"/>
    <w:qFormat/>
    <w:uiPriority w:val="0"/>
    <w:pPr>
      <w:spacing w:line="480" w:lineRule="exact"/>
    </w:pPr>
  </w:style>
  <w:style w:type="paragraph" w:customStyle="1" w:styleId="13">
    <w:name w:val="正文_2"/>
    <w:next w:val="1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标题 5（有编号）（绿盟科技）"/>
    <w:basedOn w:val="13"/>
    <w:next w:val="15"/>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5">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6">
    <w:name w:val="15"/>
    <w:basedOn w:val="6"/>
    <w:qFormat/>
    <w:uiPriority w:val="0"/>
    <w:rPr>
      <w:rFonts w:hint="default" w:ascii="Calibri" w:hAnsi="Calibri" w:cs="Calibri"/>
      <w:b/>
    </w:rPr>
  </w:style>
  <w:style w:type="character" w:customStyle="1" w:styleId="17">
    <w:name w:val="正文首行缩进 Char"/>
    <w:basedOn w:val="9"/>
    <w:link w:val="3"/>
    <w:semiHidden/>
    <w:qFormat/>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8214</Words>
  <Characters>8543</Characters>
  <Lines>62</Lines>
  <Paragraphs>17</Paragraphs>
  <TotalTime>3</TotalTime>
  <ScaleCrop>false</ScaleCrop>
  <LinksUpToDate>false</LinksUpToDate>
  <CharactersWithSpaces>8592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2026-01-04T09:20:00Z</dcterms:created>
  <dc:creator>PC</dc:creator>
  <cp:lastModifiedBy>周云霞</cp:lastModifiedBy>
  <dcterms:modified xsi:type="dcterms:W3CDTF">2026-01-12T03:58:48Z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eyJoZGlkIjoiYzlkMmZkYmE5MjIyMjVmOTNjMjM2NjBkYzIyMmEyMDUiLCJ1c2VySWQiOiIzNTI2ODc0MzAifQ==</vt:lpwstr>
  </property>
  <property fmtid="{D5CDD505-2E9C-101B-9397-08002B2CF9AE}" pid="3" name="KSOProductBuildVer">
    <vt:lpwstr>2052-12.1.0.24034</vt:lpwstr>
  </property>
  <property fmtid="{D5CDD505-2E9C-101B-9397-08002B2CF9AE}" pid="4" name="ICV">
    <vt:lpwstr>C905E25E26F24CB3B18770373C1CBF17_12</vt:lpwstr>
  </property>
</Properties>
</file>